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90D73" w14:textId="77777777" w:rsidR="004B069C" w:rsidRDefault="00435A67" w:rsidP="007E5788">
      <w:pPr>
        <w:spacing w:after="0"/>
        <w:rPr>
          <w:b/>
          <w:sz w:val="24"/>
          <w:szCs w:val="24"/>
        </w:rPr>
      </w:pPr>
      <w:r w:rsidRPr="006A79FD">
        <w:rPr>
          <w:b/>
          <w:sz w:val="24"/>
          <w:szCs w:val="24"/>
        </w:rPr>
        <w:t>IAMSLIC Treasury Handbook</w:t>
      </w:r>
    </w:p>
    <w:p w14:paraId="5EE5CDF1" w14:textId="4F48A476" w:rsidR="00F6535A" w:rsidRPr="006A79FD" w:rsidRDefault="00623E58" w:rsidP="00F6535A">
      <w:pPr>
        <w:spacing w:after="0"/>
        <w:rPr>
          <w:b/>
          <w:sz w:val="24"/>
          <w:szCs w:val="24"/>
        </w:rPr>
      </w:pPr>
      <w:r>
        <w:rPr>
          <w:b/>
          <w:sz w:val="24"/>
          <w:szCs w:val="24"/>
        </w:rPr>
        <w:t>February</w:t>
      </w:r>
      <w:r w:rsidR="00F6535A" w:rsidRPr="006A79FD">
        <w:rPr>
          <w:b/>
          <w:sz w:val="24"/>
          <w:szCs w:val="24"/>
        </w:rPr>
        <w:t>, 2015</w:t>
      </w:r>
    </w:p>
    <w:p w14:paraId="311A763C" w14:textId="77777777" w:rsidR="00F6535A" w:rsidRDefault="00F6535A" w:rsidP="007E5788">
      <w:pPr>
        <w:spacing w:after="0"/>
        <w:rPr>
          <w:b/>
          <w:sz w:val="24"/>
          <w:szCs w:val="24"/>
        </w:rPr>
      </w:pPr>
    </w:p>
    <w:p w14:paraId="5F36B3E9" w14:textId="77777777" w:rsidR="00C613D2" w:rsidRPr="006A79FD" w:rsidRDefault="00435A67" w:rsidP="007E5788">
      <w:pPr>
        <w:spacing w:after="0"/>
        <w:rPr>
          <w:b/>
          <w:sz w:val="24"/>
          <w:szCs w:val="24"/>
        </w:rPr>
      </w:pPr>
      <w:r w:rsidRPr="006A79FD">
        <w:rPr>
          <w:b/>
          <w:sz w:val="24"/>
          <w:szCs w:val="24"/>
        </w:rPr>
        <w:t>Created by the Treasury Task Force</w:t>
      </w:r>
    </w:p>
    <w:p w14:paraId="50A0E2DC" w14:textId="77777777" w:rsidR="00F423C5" w:rsidRDefault="00F423C5" w:rsidP="006C66DC">
      <w:pPr>
        <w:spacing w:after="0"/>
      </w:pPr>
      <w:r>
        <w:t>David R. Baca, Chair</w:t>
      </w:r>
    </w:p>
    <w:p w14:paraId="472BFD5E" w14:textId="77777777" w:rsidR="006C66DC" w:rsidRDefault="006C66DC" w:rsidP="006C66DC">
      <w:pPr>
        <w:spacing w:after="0"/>
      </w:pPr>
      <w:r w:rsidRPr="00274E13">
        <w:t>Sandra Abbott-Stout</w:t>
      </w:r>
    </w:p>
    <w:p w14:paraId="7DA3EB1E" w14:textId="77777777" w:rsidR="006C66DC" w:rsidRDefault="006C66DC" w:rsidP="006C66DC">
      <w:pPr>
        <w:spacing w:after="0"/>
      </w:pPr>
      <w:r w:rsidRPr="00274E13">
        <w:t>Barbara Butler</w:t>
      </w:r>
    </w:p>
    <w:p w14:paraId="147FD44A" w14:textId="77777777" w:rsidR="006C66DC" w:rsidRDefault="006C66DC" w:rsidP="006C66DC">
      <w:pPr>
        <w:spacing w:after="0"/>
      </w:pPr>
      <w:r w:rsidRPr="00274E13">
        <w:t xml:space="preserve">Kristen </w:t>
      </w:r>
      <w:proofErr w:type="spellStart"/>
      <w:r w:rsidRPr="00274E13">
        <w:t>LaBonte</w:t>
      </w:r>
      <w:proofErr w:type="spellEnd"/>
    </w:p>
    <w:p w14:paraId="06FFCE10" w14:textId="77777777" w:rsidR="006C66DC" w:rsidRDefault="006C66DC" w:rsidP="006C66DC">
      <w:pPr>
        <w:spacing w:after="0"/>
      </w:pPr>
      <w:r w:rsidRPr="00274E13">
        <w:t>Sally Taylor</w:t>
      </w:r>
    </w:p>
    <w:p w14:paraId="1E90F19D" w14:textId="77777777" w:rsidR="006C66DC" w:rsidRDefault="006C66DC" w:rsidP="006C66DC">
      <w:pPr>
        <w:spacing w:after="0"/>
      </w:pPr>
      <w:r w:rsidRPr="00274E13">
        <w:t>Eleanor Uhlinger</w:t>
      </w:r>
    </w:p>
    <w:p w14:paraId="3991D78C" w14:textId="77777777" w:rsidR="006C66DC" w:rsidRDefault="006C66DC" w:rsidP="006C66DC">
      <w:pPr>
        <w:spacing w:after="0"/>
      </w:pPr>
      <w:r w:rsidRPr="00274E13">
        <w:t>Steve Watkins</w:t>
      </w:r>
    </w:p>
    <w:p w14:paraId="54D71A53" w14:textId="77777777" w:rsidR="00873478" w:rsidRPr="00274E13" w:rsidRDefault="00873478" w:rsidP="006C66DC">
      <w:pPr>
        <w:spacing w:after="0"/>
      </w:pPr>
    </w:p>
    <w:p w14:paraId="2B06E296" w14:textId="77777777" w:rsidR="00435A67" w:rsidRPr="006A79FD" w:rsidRDefault="002F7F99" w:rsidP="007E5788">
      <w:pPr>
        <w:rPr>
          <w:b/>
          <w:sz w:val="24"/>
          <w:szCs w:val="24"/>
        </w:rPr>
      </w:pPr>
      <w:r w:rsidRPr="006A79FD">
        <w:rPr>
          <w:b/>
          <w:sz w:val="24"/>
          <w:szCs w:val="24"/>
        </w:rPr>
        <w:t xml:space="preserve">Authority </w:t>
      </w:r>
    </w:p>
    <w:p w14:paraId="422F6E55" w14:textId="77777777" w:rsidR="002F7F99" w:rsidRPr="006A79FD" w:rsidRDefault="002F7F99" w:rsidP="007E5788">
      <w:pPr>
        <w:pStyle w:val="NormalWeb"/>
        <w:rPr>
          <w:rFonts w:asciiTheme="minorHAnsi" w:hAnsiTheme="minorHAnsi"/>
          <w:color w:val="000000"/>
        </w:rPr>
      </w:pPr>
      <w:r w:rsidRPr="006A79FD">
        <w:rPr>
          <w:rFonts w:asciiTheme="minorHAnsi" w:hAnsiTheme="minorHAnsi"/>
          <w:color w:val="000000"/>
        </w:rPr>
        <w:t>Article 8, Section 4: The Treasurer shall be in charge of the Association’s funds and/or assessments; shall have established proper accounting procedures for the handling of the Association’s funds; shall be responsible for keeping of the funds in such banks, trust companies, and/or investments as are approved by the Board. He/she shall report on the financial condition of the Association at all meetings of the Board and at other times when called upon by the President. The Treasurer shall allocate funds to the Regional Groups based on the February 1st census prepared by the Membership Database Manager. At the end of each fiscal year, the Treasurer shall prepare an annual report. At the expiration of the term of office, the Treasurer shall deliver over to his/her successor all books, money, and other property in his/her charge or, in the absence of a successor, shall deliver such properties to the President.</w:t>
      </w:r>
    </w:p>
    <w:p w14:paraId="30A8848D" w14:textId="77777777" w:rsidR="002F7F99" w:rsidRPr="006A79FD" w:rsidRDefault="00CC1A37" w:rsidP="007E5788">
      <w:pPr>
        <w:rPr>
          <w:b/>
          <w:sz w:val="24"/>
          <w:szCs w:val="24"/>
        </w:rPr>
      </w:pPr>
      <w:r w:rsidRPr="006A79FD">
        <w:rPr>
          <w:b/>
          <w:sz w:val="24"/>
          <w:szCs w:val="24"/>
        </w:rPr>
        <w:t>Pertinent Bylaws:</w:t>
      </w:r>
    </w:p>
    <w:p w14:paraId="4BF1EE9D" w14:textId="77777777" w:rsidR="00CC1A37" w:rsidRPr="006A79FD" w:rsidRDefault="00CC1A37" w:rsidP="007E5788">
      <w:pPr>
        <w:pStyle w:val="NormalWeb"/>
        <w:rPr>
          <w:rFonts w:asciiTheme="minorHAnsi" w:hAnsiTheme="minorHAnsi"/>
          <w:color w:val="000000"/>
        </w:rPr>
      </w:pPr>
      <w:r w:rsidRPr="006A79FD">
        <w:rPr>
          <w:rFonts w:asciiTheme="minorHAnsi" w:hAnsiTheme="minorHAnsi"/>
          <w:color w:val="000000"/>
        </w:rPr>
        <w:t>Article 3, Section 3: Dues shall be established by the Executive Board, and shall be payable to the Association or Regional Group with a duly elected board on or before February 1.</w:t>
      </w:r>
    </w:p>
    <w:p w14:paraId="1B5BCB43" w14:textId="77777777" w:rsidR="00CC1A37" w:rsidRPr="006A79FD" w:rsidRDefault="00CC1A37" w:rsidP="007E5788">
      <w:pPr>
        <w:pStyle w:val="NormalWeb"/>
        <w:rPr>
          <w:rFonts w:asciiTheme="minorHAnsi" w:hAnsiTheme="minorHAnsi"/>
          <w:color w:val="000000"/>
        </w:rPr>
      </w:pPr>
      <w:proofErr w:type="gramStart"/>
      <w:r w:rsidRPr="006A79FD">
        <w:rPr>
          <w:rFonts w:asciiTheme="minorHAnsi" w:hAnsiTheme="minorHAnsi"/>
          <w:color w:val="000000"/>
        </w:rPr>
        <w:t>Article 4, Section 5: Regional Treasury.</w:t>
      </w:r>
      <w:proofErr w:type="gramEnd"/>
      <w:r w:rsidRPr="006A79FD">
        <w:rPr>
          <w:rFonts w:asciiTheme="minorHAnsi" w:hAnsiTheme="minorHAnsi"/>
          <w:color w:val="000000"/>
        </w:rPr>
        <w:t xml:space="preserve"> A Regional Group may, with a duly elected Board, maintain its own treasury and undertake projects and activities consistent with the goals of IAMSLIC.</w:t>
      </w:r>
    </w:p>
    <w:p w14:paraId="2B919518" w14:textId="77777777" w:rsidR="005E0B55" w:rsidRPr="006A79FD" w:rsidRDefault="005E0B55" w:rsidP="007E5788">
      <w:pPr>
        <w:pStyle w:val="NormalWeb"/>
        <w:rPr>
          <w:rFonts w:asciiTheme="minorHAnsi" w:hAnsiTheme="minorHAnsi"/>
          <w:color w:val="000000"/>
        </w:rPr>
      </w:pPr>
      <w:proofErr w:type="gramStart"/>
      <w:r w:rsidRPr="006A79FD">
        <w:rPr>
          <w:rFonts w:asciiTheme="minorHAnsi" w:hAnsiTheme="minorHAnsi"/>
          <w:color w:val="000000"/>
        </w:rPr>
        <w:t>Article 6, Section 2: Terms.</w:t>
      </w:r>
      <w:proofErr w:type="gramEnd"/>
      <w:r w:rsidRPr="006A79FD">
        <w:rPr>
          <w:rFonts w:asciiTheme="minorHAnsi" w:hAnsiTheme="minorHAnsi"/>
          <w:color w:val="000000"/>
        </w:rPr>
        <w:t xml:space="preserve"> The term of office of Secretary and Treasurer shall be two (2) years commencing at the adjournment of the Annual Business Meeting at which the New Officer was installed. Secretary and Treasurer are eligible for re-election to the same office for two (2) consecutive terms. The term of office for the Secretary and the Treasurer shall begin in alternate years.</w:t>
      </w:r>
    </w:p>
    <w:p w14:paraId="0B1185B3" w14:textId="77777777" w:rsidR="00F9251D" w:rsidRPr="006A79FD" w:rsidRDefault="00F9251D" w:rsidP="007E5788">
      <w:pPr>
        <w:pStyle w:val="NormalWeb"/>
        <w:rPr>
          <w:rFonts w:asciiTheme="minorHAnsi" w:hAnsiTheme="minorHAnsi"/>
          <w:color w:val="000000"/>
        </w:rPr>
      </w:pPr>
      <w:proofErr w:type="gramStart"/>
      <w:r w:rsidRPr="006A79FD">
        <w:rPr>
          <w:rFonts w:asciiTheme="minorHAnsi" w:hAnsiTheme="minorHAnsi"/>
          <w:color w:val="000000"/>
        </w:rPr>
        <w:t>Article 8, Section 2: Fiscal Period.</w:t>
      </w:r>
      <w:proofErr w:type="gramEnd"/>
      <w:r w:rsidRPr="006A79FD">
        <w:rPr>
          <w:rFonts w:asciiTheme="minorHAnsi" w:hAnsiTheme="minorHAnsi"/>
          <w:color w:val="000000"/>
        </w:rPr>
        <w:t xml:space="preserve"> The Fiscal Period of the Association shall be from 1 October through 30 September.</w:t>
      </w:r>
    </w:p>
    <w:p w14:paraId="3A42DE8C" w14:textId="77777777" w:rsidR="00BF1376" w:rsidRPr="006A79FD" w:rsidRDefault="00BF1376" w:rsidP="007E5788">
      <w:pPr>
        <w:pStyle w:val="NormalWeb"/>
        <w:rPr>
          <w:rFonts w:asciiTheme="minorHAnsi" w:hAnsiTheme="minorHAnsi"/>
          <w:color w:val="000000"/>
        </w:rPr>
      </w:pPr>
      <w:proofErr w:type="gramStart"/>
      <w:r w:rsidRPr="006A79FD">
        <w:rPr>
          <w:rFonts w:asciiTheme="minorHAnsi" w:hAnsiTheme="minorHAnsi"/>
          <w:color w:val="000000"/>
        </w:rPr>
        <w:t>Article 8, Section 4: Annual Fiscal Report.</w:t>
      </w:r>
      <w:proofErr w:type="gramEnd"/>
      <w:r w:rsidRPr="006A79FD">
        <w:rPr>
          <w:rFonts w:asciiTheme="minorHAnsi" w:hAnsiTheme="minorHAnsi"/>
          <w:color w:val="000000"/>
        </w:rPr>
        <w:t xml:space="preserve"> The Treasurer shall submit an Annual fiscal report to the Board within thirty (30) days following the end of the fiscal year just completed. Upon </w:t>
      </w:r>
      <w:r w:rsidRPr="006A79FD">
        <w:rPr>
          <w:rFonts w:asciiTheme="minorHAnsi" w:hAnsiTheme="minorHAnsi"/>
          <w:color w:val="000000"/>
        </w:rPr>
        <w:lastRenderedPageBreak/>
        <w:t>approval by the Board, the report shall be made available to the membership on the IAMSLIC website.</w:t>
      </w:r>
    </w:p>
    <w:p w14:paraId="32607561" w14:textId="77777777" w:rsidR="00B55620" w:rsidRDefault="00AD7307" w:rsidP="007E5788">
      <w:pPr>
        <w:rPr>
          <w:b/>
          <w:color w:val="000000"/>
          <w:sz w:val="24"/>
          <w:szCs w:val="24"/>
        </w:rPr>
      </w:pPr>
      <w:r>
        <w:rPr>
          <w:b/>
          <w:color w:val="000000"/>
          <w:sz w:val="24"/>
          <w:szCs w:val="24"/>
        </w:rPr>
        <w:t>TIMELINE</w:t>
      </w:r>
    </w:p>
    <w:p w14:paraId="3983DFE2" w14:textId="77777777" w:rsidR="00B0244A" w:rsidRDefault="00B0244A" w:rsidP="004240B0">
      <w:pPr>
        <w:pStyle w:val="ListParagraph"/>
        <w:numPr>
          <w:ilvl w:val="0"/>
          <w:numId w:val="34"/>
        </w:numPr>
        <w:rPr>
          <w:color w:val="000000"/>
          <w:sz w:val="24"/>
          <w:szCs w:val="24"/>
        </w:rPr>
      </w:pPr>
      <w:r w:rsidRPr="004240B0">
        <w:rPr>
          <w:color w:val="000000"/>
          <w:sz w:val="24"/>
          <w:szCs w:val="24"/>
        </w:rPr>
        <w:t>10</w:t>
      </w:r>
      <w:r w:rsidRPr="004240B0">
        <w:rPr>
          <w:color w:val="000000"/>
          <w:sz w:val="24"/>
          <w:szCs w:val="24"/>
          <w:vertAlign w:val="superscript"/>
        </w:rPr>
        <w:t>th</w:t>
      </w:r>
      <w:r w:rsidRPr="004240B0">
        <w:rPr>
          <w:color w:val="000000"/>
          <w:sz w:val="24"/>
          <w:szCs w:val="24"/>
        </w:rPr>
        <w:t xml:space="preserve"> of every month – Reconcile bank statements and issue report to Executive Board</w:t>
      </w:r>
    </w:p>
    <w:p w14:paraId="1330AC2F" w14:textId="77777777" w:rsidR="00355E03" w:rsidRDefault="00355E03" w:rsidP="007E5788">
      <w:pPr>
        <w:rPr>
          <w:b/>
          <w:i/>
          <w:color w:val="000000"/>
          <w:sz w:val="24"/>
          <w:szCs w:val="24"/>
        </w:rPr>
      </w:pPr>
      <w:r>
        <w:rPr>
          <w:b/>
          <w:i/>
          <w:color w:val="000000"/>
          <w:sz w:val="24"/>
          <w:szCs w:val="24"/>
        </w:rPr>
        <w:t>January</w:t>
      </w:r>
    </w:p>
    <w:p w14:paraId="4D4A3AB3" w14:textId="3CC823B1" w:rsidR="00355E03" w:rsidRPr="00B564EE" w:rsidRDefault="00355E03" w:rsidP="00355E03">
      <w:pPr>
        <w:rPr>
          <w:color w:val="000000"/>
          <w:sz w:val="24"/>
          <w:szCs w:val="24"/>
        </w:rPr>
      </w:pPr>
      <w:r>
        <w:rPr>
          <w:color w:val="000000"/>
          <w:sz w:val="24"/>
          <w:szCs w:val="24"/>
        </w:rPr>
        <w:t xml:space="preserve">31 </w:t>
      </w:r>
      <w:r>
        <w:rPr>
          <w:color w:val="000000"/>
          <w:sz w:val="24"/>
          <w:szCs w:val="24"/>
        </w:rPr>
        <w:tab/>
      </w:r>
      <w:r w:rsidR="00AD3A99">
        <w:rPr>
          <w:color w:val="000000"/>
          <w:sz w:val="24"/>
          <w:szCs w:val="24"/>
        </w:rPr>
        <w:t>Membership Database Manager sends m</w:t>
      </w:r>
      <w:r>
        <w:rPr>
          <w:color w:val="000000"/>
          <w:sz w:val="24"/>
          <w:szCs w:val="24"/>
        </w:rPr>
        <w:t xml:space="preserve">embership </w:t>
      </w:r>
      <w:r w:rsidR="00AD3A99">
        <w:rPr>
          <w:color w:val="000000"/>
          <w:sz w:val="24"/>
          <w:szCs w:val="24"/>
        </w:rPr>
        <w:t>3</w:t>
      </w:r>
      <w:r w:rsidR="00AD3A99" w:rsidRPr="00626382">
        <w:rPr>
          <w:color w:val="000000"/>
          <w:sz w:val="24"/>
          <w:szCs w:val="24"/>
          <w:vertAlign w:val="superscript"/>
        </w:rPr>
        <w:t>rd</w:t>
      </w:r>
      <w:r w:rsidR="00AD3A99">
        <w:rPr>
          <w:color w:val="000000"/>
          <w:sz w:val="24"/>
          <w:szCs w:val="24"/>
        </w:rPr>
        <w:t xml:space="preserve"> </w:t>
      </w:r>
      <w:r>
        <w:rPr>
          <w:color w:val="000000"/>
          <w:sz w:val="24"/>
          <w:szCs w:val="24"/>
        </w:rPr>
        <w:t>renewal call out</w:t>
      </w:r>
    </w:p>
    <w:p w14:paraId="33BAC4A3" w14:textId="77777777" w:rsidR="0068712E" w:rsidRPr="004240B0" w:rsidRDefault="0068712E" w:rsidP="007E5788">
      <w:pPr>
        <w:rPr>
          <w:b/>
          <w:i/>
          <w:color w:val="000000"/>
          <w:sz w:val="24"/>
          <w:szCs w:val="24"/>
        </w:rPr>
      </w:pPr>
      <w:r w:rsidRPr="004240B0">
        <w:rPr>
          <w:b/>
          <w:i/>
          <w:color w:val="000000"/>
          <w:sz w:val="24"/>
          <w:szCs w:val="24"/>
        </w:rPr>
        <w:t>February</w:t>
      </w:r>
    </w:p>
    <w:p w14:paraId="1F16725D" w14:textId="6BC78D17" w:rsidR="00355E03" w:rsidRDefault="00355E03" w:rsidP="00756EBF">
      <w:pPr>
        <w:rPr>
          <w:color w:val="000000"/>
          <w:sz w:val="24"/>
          <w:szCs w:val="24"/>
        </w:rPr>
      </w:pPr>
      <w:r>
        <w:rPr>
          <w:color w:val="000000"/>
          <w:sz w:val="24"/>
          <w:szCs w:val="24"/>
        </w:rPr>
        <w:t>1</w:t>
      </w:r>
      <w:r>
        <w:rPr>
          <w:color w:val="000000"/>
          <w:sz w:val="24"/>
          <w:szCs w:val="24"/>
        </w:rPr>
        <w:tab/>
        <w:t>Annual regional group census</w:t>
      </w:r>
      <w:r w:rsidR="00187D7F">
        <w:rPr>
          <w:color w:val="000000"/>
          <w:sz w:val="24"/>
          <w:szCs w:val="24"/>
        </w:rPr>
        <w:t xml:space="preserve"> provided by Membership Database Manager to the Executive Board</w:t>
      </w:r>
    </w:p>
    <w:p w14:paraId="3B2E28C3" w14:textId="77777777" w:rsidR="0068712E" w:rsidRDefault="0068712E" w:rsidP="00756EBF">
      <w:pPr>
        <w:rPr>
          <w:sz w:val="24"/>
          <w:szCs w:val="24"/>
        </w:rPr>
      </w:pPr>
      <w:r w:rsidRPr="00756EBF">
        <w:rPr>
          <w:color w:val="000000"/>
          <w:sz w:val="24"/>
          <w:szCs w:val="24"/>
        </w:rPr>
        <w:t>15</w:t>
      </w:r>
      <w:r w:rsidRPr="00756EBF">
        <w:rPr>
          <w:color w:val="000000"/>
          <w:sz w:val="24"/>
          <w:szCs w:val="24"/>
        </w:rPr>
        <w:tab/>
      </w:r>
      <w:r w:rsidRPr="00756EBF">
        <w:rPr>
          <w:sz w:val="24"/>
          <w:szCs w:val="24"/>
        </w:rPr>
        <w:t>An annual CT-12 must be filed with the State of Oregon, due Feb. 15.</w:t>
      </w:r>
    </w:p>
    <w:p w14:paraId="74DE858C" w14:textId="77777777" w:rsidR="00C02346" w:rsidRDefault="00C02346" w:rsidP="00C02346">
      <w:pPr>
        <w:rPr>
          <w:sz w:val="24"/>
          <w:szCs w:val="24"/>
        </w:rPr>
      </w:pPr>
      <w:r>
        <w:rPr>
          <w:sz w:val="24"/>
          <w:szCs w:val="24"/>
        </w:rPr>
        <w:t>15</w:t>
      </w:r>
      <w:r w:rsidRPr="00C02346">
        <w:rPr>
          <w:sz w:val="24"/>
          <w:szCs w:val="24"/>
        </w:rPr>
        <w:t xml:space="preserve"> </w:t>
      </w:r>
      <w:r>
        <w:rPr>
          <w:sz w:val="24"/>
          <w:szCs w:val="24"/>
        </w:rPr>
        <w:tab/>
      </w:r>
      <w:r w:rsidRPr="00756EBF">
        <w:rPr>
          <w:sz w:val="24"/>
          <w:szCs w:val="24"/>
        </w:rPr>
        <w:t>The IRS e-Postcard is due every year by the 15th day of the 5th month after the close of your tax year (</w:t>
      </w:r>
      <w:r>
        <w:rPr>
          <w:sz w:val="24"/>
          <w:szCs w:val="24"/>
        </w:rPr>
        <w:t>February</w:t>
      </w:r>
      <w:r w:rsidRPr="00756EBF">
        <w:rPr>
          <w:sz w:val="24"/>
          <w:szCs w:val="24"/>
        </w:rPr>
        <w:t xml:space="preserve"> 15). If the due date falls on a Saturday, Sunday, or legal holiday, the due date is the next business day. You cannot file the e-Postcard until after your tax year ends.</w:t>
      </w:r>
    </w:p>
    <w:p w14:paraId="17B63B5B" w14:textId="77777777" w:rsidR="00926FC2" w:rsidRDefault="004240B0" w:rsidP="00756EBF">
      <w:pPr>
        <w:rPr>
          <w:sz w:val="24"/>
          <w:szCs w:val="24"/>
        </w:rPr>
      </w:pPr>
      <w:r w:rsidRPr="00756EBF">
        <w:rPr>
          <w:sz w:val="24"/>
          <w:szCs w:val="24"/>
        </w:rPr>
        <w:t>28</w:t>
      </w:r>
      <w:r w:rsidRPr="00756EBF">
        <w:rPr>
          <w:sz w:val="24"/>
          <w:szCs w:val="24"/>
        </w:rPr>
        <w:tab/>
        <w:t xml:space="preserve">Call for papers and announcement for Annual Conference will have gone out. </w:t>
      </w:r>
    </w:p>
    <w:p w14:paraId="450FD053" w14:textId="77777777" w:rsidR="00355E03" w:rsidRPr="00756EBF" w:rsidRDefault="00355E03" w:rsidP="00355E03">
      <w:pPr>
        <w:rPr>
          <w:sz w:val="24"/>
          <w:szCs w:val="24"/>
        </w:rPr>
      </w:pPr>
      <w:r>
        <w:rPr>
          <w:sz w:val="24"/>
          <w:szCs w:val="24"/>
        </w:rPr>
        <w:t>28</w:t>
      </w:r>
      <w:r>
        <w:rPr>
          <w:sz w:val="24"/>
          <w:szCs w:val="24"/>
        </w:rPr>
        <w:tab/>
        <w:t xml:space="preserve">Allocations based on February census are made to Regional Groups. </w:t>
      </w:r>
      <w:proofErr w:type="spellStart"/>
      <w:r>
        <w:rPr>
          <w:sz w:val="24"/>
          <w:szCs w:val="24"/>
        </w:rPr>
        <w:t>Cyamus</w:t>
      </w:r>
      <w:proofErr w:type="spellEnd"/>
      <w:r>
        <w:rPr>
          <w:sz w:val="24"/>
          <w:szCs w:val="24"/>
        </w:rPr>
        <w:t xml:space="preserve"> funds are transferred into </w:t>
      </w:r>
      <w:proofErr w:type="spellStart"/>
      <w:r>
        <w:rPr>
          <w:sz w:val="24"/>
          <w:szCs w:val="24"/>
        </w:rPr>
        <w:t>Cyamus</w:t>
      </w:r>
      <w:proofErr w:type="spellEnd"/>
      <w:r>
        <w:rPr>
          <w:sz w:val="24"/>
          <w:szCs w:val="24"/>
        </w:rPr>
        <w:t xml:space="preserve"> Banking Account. Other funds are encumbered and reimbursed to Regional Groups as submitted. Regional groups are informed of allocations and encumbered funds.</w:t>
      </w:r>
    </w:p>
    <w:p w14:paraId="0AB7D7D2" w14:textId="77777777" w:rsidR="0068712E" w:rsidRPr="004240B0" w:rsidRDefault="0068712E" w:rsidP="007E5788">
      <w:pPr>
        <w:rPr>
          <w:b/>
          <w:i/>
          <w:color w:val="000000"/>
          <w:sz w:val="24"/>
          <w:szCs w:val="24"/>
        </w:rPr>
      </w:pPr>
      <w:r w:rsidRPr="004240B0">
        <w:rPr>
          <w:b/>
          <w:i/>
          <w:color w:val="000000"/>
          <w:sz w:val="24"/>
          <w:szCs w:val="24"/>
        </w:rPr>
        <w:t>March</w:t>
      </w:r>
    </w:p>
    <w:p w14:paraId="49DF5AB2" w14:textId="77777777" w:rsidR="00DA4361" w:rsidRDefault="0068712E">
      <w:pPr>
        <w:rPr>
          <w:sz w:val="24"/>
          <w:szCs w:val="24"/>
        </w:rPr>
      </w:pPr>
      <w:r w:rsidRPr="00756EBF">
        <w:rPr>
          <w:color w:val="000000"/>
          <w:sz w:val="24"/>
          <w:szCs w:val="24"/>
        </w:rPr>
        <w:t>15</w:t>
      </w:r>
      <w:r w:rsidRPr="00756EBF">
        <w:rPr>
          <w:color w:val="000000"/>
          <w:sz w:val="24"/>
          <w:szCs w:val="24"/>
        </w:rPr>
        <w:tab/>
      </w:r>
      <w:r w:rsidR="00DA4361">
        <w:rPr>
          <w:sz w:val="24"/>
          <w:szCs w:val="24"/>
        </w:rPr>
        <w:t xml:space="preserve">Treasurer </w:t>
      </w:r>
      <w:r w:rsidR="00074E77">
        <w:rPr>
          <w:sz w:val="24"/>
          <w:szCs w:val="24"/>
        </w:rPr>
        <w:t xml:space="preserve">and President </w:t>
      </w:r>
      <w:r w:rsidR="00DA4361">
        <w:rPr>
          <w:sz w:val="24"/>
          <w:szCs w:val="24"/>
        </w:rPr>
        <w:t xml:space="preserve">finalize amount available for travel grants (based on allocation for non-affiliated members, </w:t>
      </w:r>
      <w:r w:rsidR="006765A8">
        <w:rPr>
          <w:sz w:val="24"/>
          <w:szCs w:val="24"/>
        </w:rPr>
        <w:t xml:space="preserve">conference profits, </w:t>
      </w:r>
      <w:proofErr w:type="spellStart"/>
      <w:r w:rsidR="006765A8">
        <w:rPr>
          <w:sz w:val="24"/>
          <w:szCs w:val="24"/>
        </w:rPr>
        <w:t>Guin</w:t>
      </w:r>
      <w:proofErr w:type="spellEnd"/>
      <w:r w:rsidR="006765A8">
        <w:rPr>
          <w:sz w:val="24"/>
          <w:szCs w:val="24"/>
        </w:rPr>
        <w:t xml:space="preserve"> funds</w:t>
      </w:r>
      <w:r w:rsidR="00074E77">
        <w:rPr>
          <w:sz w:val="24"/>
          <w:szCs w:val="24"/>
        </w:rPr>
        <w:t xml:space="preserve"> and other sponsorships</w:t>
      </w:r>
      <w:r w:rsidR="00E91F26">
        <w:rPr>
          <w:sz w:val="24"/>
          <w:szCs w:val="24"/>
        </w:rPr>
        <w:t>)</w:t>
      </w:r>
      <w:r w:rsidR="006765A8">
        <w:rPr>
          <w:sz w:val="24"/>
          <w:szCs w:val="24"/>
        </w:rPr>
        <w:t>.</w:t>
      </w:r>
    </w:p>
    <w:p w14:paraId="18A73C7A" w14:textId="77777777" w:rsidR="00AD7307" w:rsidRDefault="00AD7307" w:rsidP="00756EBF">
      <w:pPr>
        <w:rPr>
          <w:sz w:val="24"/>
          <w:szCs w:val="24"/>
        </w:rPr>
      </w:pPr>
      <w:r>
        <w:rPr>
          <w:sz w:val="24"/>
          <w:szCs w:val="24"/>
        </w:rPr>
        <w:t>31</w:t>
      </w:r>
      <w:r>
        <w:rPr>
          <w:sz w:val="24"/>
          <w:szCs w:val="24"/>
        </w:rPr>
        <w:tab/>
        <w:t>Regional budgets due to Executive Board</w:t>
      </w:r>
    </w:p>
    <w:p w14:paraId="62C7D7AE" w14:textId="77777777" w:rsidR="0068712E" w:rsidRPr="004240B0" w:rsidRDefault="0068712E" w:rsidP="007E5788">
      <w:pPr>
        <w:rPr>
          <w:b/>
          <w:i/>
          <w:color w:val="000000"/>
          <w:sz w:val="24"/>
          <w:szCs w:val="24"/>
        </w:rPr>
      </w:pPr>
      <w:r w:rsidRPr="004240B0">
        <w:rPr>
          <w:b/>
          <w:i/>
          <w:color w:val="000000"/>
          <w:sz w:val="24"/>
          <w:szCs w:val="24"/>
        </w:rPr>
        <w:t>April</w:t>
      </w:r>
    </w:p>
    <w:p w14:paraId="27AA135E" w14:textId="77777777" w:rsidR="00926FC2" w:rsidRDefault="00926FC2" w:rsidP="007E5788">
      <w:pPr>
        <w:rPr>
          <w:color w:val="000000"/>
          <w:sz w:val="24"/>
          <w:szCs w:val="24"/>
        </w:rPr>
      </w:pPr>
      <w:r>
        <w:rPr>
          <w:color w:val="000000"/>
          <w:sz w:val="24"/>
          <w:szCs w:val="24"/>
        </w:rPr>
        <w:t>1</w:t>
      </w:r>
      <w:r>
        <w:rPr>
          <w:color w:val="000000"/>
          <w:sz w:val="24"/>
          <w:szCs w:val="24"/>
        </w:rPr>
        <w:tab/>
        <w:t>Call for travel grant proposals</w:t>
      </w:r>
    </w:p>
    <w:p w14:paraId="42B5B8DE" w14:textId="77777777" w:rsidR="0068712E" w:rsidRDefault="0009253F" w:rsidP="007E5788">
      <w:pPr>
        <w:rPr>
          <w:color w:val="000000"/>
          <w:sz w:val="24"/>
          <w:szCs w:val="24"/>
        </w:rPr>
      </w:pPr>
      <w:r>
        <w:rPr>
          <w:color w:val="000000"/>
          <w:sz w:val="24"/>
          <w:szCs w:val="24"/>
        </w:rPr>
        <w:t>30</w:t>
      </w:r>
      <w:r>
        <w:rPr>
          <w:color w:val="000000"/>
          <w:sz w:val="24"/>
          <w:szCs w:val="24"/>
        </w:rPr>
        <w:tab/>
        <w:t>Regional budgets approved by Executive Board</w:t>
      </w:r>
    </w:p>
    <w:p w14:paraId="5081ED92" w14:textId="77777777" w:rsidR="00926FC2" w:rsidRPr="00926FC2" w:rsidRDefault="00926FC2" w:rsidP="007E5788">
      <w:pPr>
        <w:rPr>
          <w:b/>
          <w:color w:val="000000"/>
          <w:sz w:val="24"/>
          <w:szCs w:val="24"/>
        </w:rPr>
      </w:pPr>
      <w:r w:rsidRPr="00926FC2">
        <w:rPr>
          <w:b/>
          <w:color w:val="000000"/>
          <w:sz w:val="24"/>
          <w:szCs w:val="24"/>
        </w:rPr>
        <w:t>May</w:t>
      </w:r>
    </w:p>
    <w:p w14:paraId="2383DA79" w14:textId="77777777" w:rsidR="00926FC2" w:rsidRDefault="00926FC2" w:rsidP="00926FC2">
      <w:pPr>
        <w:rPr>
          <w:color w:val="000000"/>
          <w:sz w:val="24"/>
          <w:szCs w:val="24"/>
        </w:rPr>
      </w:pPr>
      <w:r>
        <w:rPr>
          <w:color w:val="000000"/>
          <w:sz w:val="24"/>
          <w:szCs w:val="24"/>
        </w:rPr>
        <w:t>1</w:t>
      </w:r>
      <w:r>
        <w:rPr>
          <w:color w:val="000000"/>
          <w:sz w:val="24"/>
          <w:szCs w:val="24"/>
        </w:rPr>
        <w:tab/>
        <w:t>Travel grant proposals due to Executive Board</w:t>
      </w:r>
    </w:p>
    <w:p w14:paraId="14612508" w14:textId="77777777" w:rsidR="00926FC2" w:rsidRDefault="00926FC2" w:rsidP="007E5788">
      <w:pPr>
        <w:rPr>
          <w:b/>
          <w:i/>
          <w:color w:val="000000"/>
          <w:sz w:val="24"/>
          <w:szCs w:val="24"/>
        </w:rPr>
      </w:pPr>
      <w:r>
        <w:rPr>
          <w:b/>
          <w:i/>
          <w:color w:val="000000"/>
          <w:sz w:val="24"/>
          <w:szCs w:val="24"/>
        </w:rPr>
        <w:lastRenderedPageBreak/>
        <w:t>June</w:t>
      </w:r>
    </w:p>
    <w:p w14:paraId="6DD66BE9" w14:textId="77777777" w:rsidR="00926FC2" w:rsidRPr="00926FC2" w:rsidRDefault="00926FC2" w:rsidP="007E5788">
      <w:pPr>
        <w:rPr>
          <w:color w:val="000000"/>
          <w:sz w:val="24"/>
          <w:szCs w:val="24"/>
        </w:rPr>
      </w:pPr>
      <w:r>
        <w:rPr>
          <w:color w:val="000000"/>
          <w:sz w:val="24"/>
          <w:szCs w:val="24"/>
        </w:rPr>
        <w:t>30</w:t>
      </w:r>
      <w:r>
        <w:rPr>
          <w:color w:val="000000"/>
          <w:sz w:val="24"/>
          <w:szCs w:val="24"/>
        </w:rPr>
        <w:tab/>
        <w:t>Conference registration opens</w:t>
      </w:r>
    </w:p>
    <w:p w14:paraId="55F6B8D6" w14:textId="77777777" w:rsidR="0068712E" w:rsidRPr="007D6279" w:rsidRDefault="0068712E" w:rsidP="007E5788">
      <w:pPr>
        <w:rPr>
          <w:b/>
          <w:i/>
          <w:color w:val="000000"/>
          <w:sz w:val="24"/>
          <w:szCs w:val="24"/>
        </w:rPr>
      </w:pPr>
      <w:r w:rsidRPr="007D6279">
        <w:rPr>
          <w:b/>
          <w:i/>
          <w:color w:val="000000"/>
          <w:sz w:val="24"/>
          <w:szCs w:val="24"/>
        </w:rPr>
        <w:t>September</w:t>
      </w:r>
    </w:p>
    <w:p w14:paraId="751DD8DC" w14:textId="77777777" w:rsidR="00E9676A" w:rsidRDefault="00E9676A" w:rsidP="007E5788">
      <w:pPr>
        <w:rPr>
          <w:color w:val="000000"/>
          <w:sz w:val="24"/>
          <w:szCs w:val="24"/>
        </w:rPr>
      </w:pPr>
      <w:r>
        <w:rPr>
          <w:color w:val="000000"/>
          <w:sz w:val="24"/>
          <w:szCs w:val="24"/>
        </w:rPr>
        <w:t>AC</w:t>
      </w:r>
      <w:r>
        <w:rPr>
          <w:color w:val="000000"/>
          <w:sz w:val="24"/>
          <w:szCs w:val="24"/>
        </w:rPr>
        <w:tab/>
      </w:r>
      <w:r w:rsidR="0059458C">
        <w:rPr>
          <w:color w:val="000000"/>
          <w:sz w:val="24"/>
          <w:szCs w:val="24"/>
        </w:rPr>
        <w:t xml:space="preserve">Interim </w:t>
      </w:r>
      <w:r>
        <w:rPr>
          <w:color w:val="000000"/>
          <w:sz w:val="24"/>
          <w:szCs w:val="24"/>
        </w:rPr>
        <w:t>Treasury Report due to Annual Conference (accounting to date of conference)</w:t>
      </w:r>
    </w:p>
    <w:p w14:paraId="15155813" w14:textId="77777777" w:rsidR="00BC3B86" w:rsidRDefault="00BC3B86" w:rsidP="007E5788">
      <w:pPr>
        <w:rPr>
          <w:color w:val="000000"/>
          <w:sz w:val="24"/>
          <w:szCs w:val="24"/>
        </w:rPr>
      </w:pPr>
      <w:r>
        <w:rPr>
          <w:color w:val="000000"/>
          <w:sz w:val="24"/>
          <w:szCs w:val="24"/>
        </w:rPr>
        <w:t>AC</w:t>
      </w:r>
      <w:r>
        <w:rPr>
          <w:color w:val="000000"/>
          <w:sz w:val="24"/>
          <w:szCs w:val="24"/>
        </w:rPr>
        <w:tab/>
        <w:t>Regional groups include financial report with their annual reports</w:t>
      </w:r>
      <w:r w:rsidR="00B422D4">
        <w:rPr>
          <w:color w:val="000000"/>
          <w:sz w:val="24"/>
          <w:szCs w:val="24"/>
        </w:rPr>
        <w:t xml:space="preserve"> (may need assistance from Treasurer)</w:t>
      </w:r>
    </w:p>
    <w:p w14:paraId="6EE096F5" w14:textId="77777777" w:rsidR="00691574" w:rsidRDefault="00691574" w:rsidP="007E5788">
      <w:pPr>
        <w:rPr>
          <w:color w:val="000000"/>
          <w:sz w:val="24"/>
          <w:szCs w:val="24"/>
        </w:rPr>
      </w:pPr>
      <w:r>
        <w:rPr>
          <w:color w:val="000000"/>
          <w:sz w:val="24"/>
          <w:szCs w:val="24"/>
        </w:rPr>
        <w:t>AC</w:t>
      </w:r>
      <w:r>
        <w:rPr>
          <w:color w:val="000000"/>
          <w:sz w:val="24"/>
          <w:szCs w:val="24"/>
        </w:rPr>
        <w:tab/>
        <w:t>Budget due from President for coming year</w:t>
      </w:r>
    </w:p>
    <w:p w14:paraId="390C2ED7" w14:textId="77777777" w:rsidR="00D35666" w:rsidRDefault="00D35666" w:rsidP="007E5788">
      <w:pPr>
        <w:rPr>
          <w:color w:val="000000"/>
          <w:sz w:val="24"/>
          <w:szCs w:val="24"/>
        </w:rPr>
      </w:pPr>
      <w:r>
        <w:rPr>
          <w:color w:val="000000"/>
          <w:sz w:val="24"/>
          <w:szCs w:val="24"/>
        </w:rPr>
        <w:t>AC</w:t>
      </w:r>
      <w:r>
        <w:rPr>
          <w:color w:val="000000"/>
          <w:sz w:val="24"/>
          <w:szCs w:val="24"/>
        </w:rPr>
        <w:tab/>
        <w:t>Travel grant recipients are reimbursed</w:t>
      </w:r>
    </w:p>
    <w:p w14:paraId="236DAF12" w14:textId="77777777" w:rsidR="0068712E" w:rsidRDefault="00456677" w:rsidP="007E5788">
      <w:pPr>
        <w:rPr>
          <w:color w:val="000000"/>
          <w:sz w:val="24"/>
          <w:szCs w:val="24"/>
        </w:rPr>
      </w:pPr>
      <w:r>
        <w:rPr>
          <w:color w:val="000000"/>
          <w:sz w:val="24"/>
          <w:szCs w:val="24"/>
        </w:rPr>
        <w:t>30</w:t>
      </w:r>
      <w:r>
        <w:rPr>
          <w:color w:val="000000"/>
          <w:sz w:val="24"/>
          <w:szCs w:val="24"/>
        </w:rPr>
        <w:tab/>
        <w:t xml:space="preserve">Deposit all </w:t>
      </w:r>
      <w:r w:rsidR="00355E03">
        <w:rPr>
          <w:color w:val="000000"/>
          <w:sz w:val="24"/>
          <w:szCs w:val="24"/>
        </w:rPr>
        <w:t xml:space="preserve">on-site </w:t>
      </w:r>
      <w:r>
        <w:rPr>
          <w:color w:val="000000"/>
          <w:sz w:val="24"/>
          <w:szCs w:val="24"/>
        </w:rPr>
        <w:t>conference registrations into Conference Banking Account</w:t>
      </w:r>
    </w:p>
    <w:p w14:paraId="41E20B86" w14:textId="77777777" w:rsidR="00C02346" w:rsidRPr="00FA5164" w:rsidRDefault="00C02346" w:rsidP="00355E03">
      <w:pPr>
        <w:rPr>
          <w:b/>
          <w:i/>
          <w:color w:val="000000"/>
          <w:sz w:val="24"/>
          <w:szCs w:val="24"/>
        </w:rPr>
      </w:pPr>
      <w:r w:rsidRPr="00FA5164">
        <w:rPr>
          <w:b/>
          <w:i/>
          <w:color w:val="000000"/>
          <w:sz w:val="24"/>
          <w:szCs w:val="24"/>
        </w:rPr>
        <w:t>October</w:t>
      </w:r>
    </w:p>
    <w:p w14:paraId="17E0E02F" w14:textId="77777777" w:rsidR="00355E03" w:rsidRDefault="00355E03" w:rsidP="00355E03">
      <w:pPr>
        <w:rPr>
          <w:color w:val="000000"/>
          <w:sz w:val="24"/>
          <w:szCs w:val="24"/>
        </w:rPr>
      </w:pPr>
      <w:r>
        <w:rPr>
          <w:color w:val="000000"/>
          <w:sz w:val="24"/>
          <w:szCs w:val="24"/>
        </w:rPr>
        <w:t>30</w:t>
      </w:r>
      <w:r>
        <w:rPr>
          <w:color w:val="000000"/>
          <w:sz w:val="24"/>
          <w:szCs w:val="24"/>
        </w:rPr>
        <w:tab/>
        <w:t xml:space="preserve">Annual Treasury Report due to Executive Board </w:t>
      </w:r>
    </w:p>
    <w:p w14:paraId="29053003" w14:textId="77777777" w:rsidR="0068712E" w:rsidRPr="007D6279" w:rsidRDefault="0068712E" w:rsidP="007E5788">
      <w:pPr>
        <w:rPr>
          <w:b/>
          <w:i/>
          <w:color w:val="000000"/>
          <w:sz w:val="24"/>
          <w:szCs w:val="24"/>
        </w:rPr>
      </w:pPr>
      <w:r w:rsidRPr="007D6279">
        <w:rPr>
          <w:b/>
          <w:i/>
          <w:color w:val="000000"/>
          <w:sz w:val="24"/>
          <w:szCs w:val="24"/>
        </w:rPr>
        <w:t>November</w:t>
      </w:r>
    </w:p>
    <w:p w14:paraId="470F9AC3" w14:textId="77777777" w:rsidR="00964C2C" w:rsidRDefault="00964C2C" w:rsidP="007E5788">
      <w:pPr>
        <w:rPr>
          <w:color w:val="000000"/>
          <w:sz w:val="24"/>
          <w:szCs w:val="24"/>
        </w:rPr>
      </w:pPr>
      <w:r>
        <w:rPr>
          <w:color w:val="000000"/>
          <w:sz w:val="24"/>
          <w:szCs w:val="24"/>
        </w:rPr>
        <w:t>5</w:t>
      </w:r>
      <w:r>
        <w:rPr>
          <w:color w:val="000000"/>
          <w:sz w:val="24"/>
          <w:szCs w:val="24"/>
        </w:rPr>
        <w:tab/>
        <w:t>Deadline to renew Oregon Corporation Division registration</w:t>
      </w:r>
    </w:p>
    <w:p w14:paraId="3CB1031B" w14:textId="77777777" w:rsidR="00964C2C" w:rsidRDefault="00964C2C" w:rsidP="00964C2C">
      <w:pPr>
        <w:rPr>
          <w:i/>
          <w:color w:val="000000"/>
          <w:sz w:val="24"/>
          <w:szCs w:val="24"/>
        </w:rPr>
      </w:pPr>
      <w:r>
        <w:rPr>
          <w:rFonts w:eastAsia="Times New Roman"/>
          <w:color w:val="000000"/>
        </w:rPr>
        <w:t> </w:t>
      </w:r>
      <w:hyperlink r:id="rId6" w:history="1">
        <w:r>
          <w:rPr>
            <w:rStyle w:val="Hyperlink"/>
            <w:rFonts w:eastAsia="Times New Roman"/>
          </w:rPr>
          <w:t>http://egov.sos.state.or.us/br/pkg_web_name_srch_inq.login</w:t>
        </w:r>
      </w:hyperlink>
    </w:p>
    <w:p w14:paraId="6DD0FB99" w14:textId="77777777" w:rsidR="00964C2C" w:rsidRDefault="00964C2C" w:rsidP="00964C2C">
      <w:pPr>
        <w:rPr>
          <w:rFonts w:eastAsia="Times New Roman"/>
          <w:color w:val="000000"/>
        </w:rPr>
      </w:pPr>
      <w:r>
        <w:rPr>
          <w:color w:val="000000"/>
          <w:sz w:val="24"/>
          <w:szCs w:val="24"/>
        </w:rPr>
        <w:t xml:space="preserve">Registry Number: </w:t>
      </w:r>
      <w:r>
        <w:rPr>
          <w:rFonts w:eastAsia="Times New Roman"/>
          <w:color w:val="000000"/>
        </w:rPr>
        <w:t>140555-11</w:t>
      </w:r>
    </w:p>
    <w:p w14:paraId="0550FFCA" w14:textId="77777777" w:rsidR="0068712E" w:rsidRDefault="00B0244A" w:rsidP="007E5788">
      <w:pPr>
        <w:rPr>
          <w:color w:val="000000"/>
          <w:sz w:val="24"/>
          <w:szCs w:val="24"/>
        </w:rPr>
      </w:pPr>
      <w:r>
        <w:rPr>
          <w:color w:val="000000"/>
          <w:sz w:val="24"/>
          <w:szCs w:val="24"/>
        </w:rPr>
        <w:t>15</w:t>
      </w:r>
      <w:r>
        <w:rPr>
          <w:color w:val="000000"/>
          <w:sz w:val="24"/>
          <w:szCs w:val="24"/>
        </w:rPr>
        <w:tab/>
        <w:t xml:space="preserve">Annual Treasury Report due to </w:t>
      </w:r>
      <w:r w:rsidR="00355E03">
        <w:rPr>
          <w:color w:val="000000"/>
          <w:sz w:val="24"/>
          <w:szCs w:val="24"/>
        </w:rPr>
        <w:t xml:space="preserve">Membership </w:t>
      </w:r>
    </w:p>
    <w:p w14:paraId="097679E0" w14:textId="0320EC62" w:rsidR="00AD3A99" w:rsidRDefault="00AD7307" w:rsidP="007E5788">
      <w:pPr>
        <w:rPr>
          <w:color w:val="000000"/>
          <w:sz w:val="24"/>
          <w:szCs w:val="24"/>
        </w:rPr>
      </w:pPr>
      <w:r>
        <w:rPr>
          <w:color w:val="000000"/>
          <w:sz w:val="24"/>
          <w:szCs w:val="24"/>
        </w:rPr>
        <w:t>30</w:t>
      </w:r>
      <w:r>
        <w:rPr>
          <w:color w:val="000000"/>
          <w:sz w:val="24"/>
          <w:szCs w:val="24"/>
        </w:rPr>
        <w:tab/>
      </w:r>
      <w:r w:rsidR="00AD3A99">
        <w:rPr>
          <w:color w:val="000000"/>
          <w:sz w:val="24"/>
          <w:szCs w:val="24"/>
        </w:rPr>
        <w:t>Membership Database Manager sends membership first renewal call out</w:t>
      </w:r>
    </w:p>
    <w:p w14:paraId="17497802" w14:textId="77777777" w:rsidR="0068712E" w:rsidRPr="007D6279" w:rsidRDefault="0068712E" w:rsidP="007E5788">
      <w:pPr>
        <w:rPr>
          <w:b/>
          <w:i/>
          <w:color w:val="000000"/>
          <w:sz w:val="24"/>
          <w:szCs w:val="24"/>
        </w:rPr>
      </w:pPr>
      <w:r w:rsidRPr="007D6279">
        <w:rPr>
          <w:b/>
          <w:i/>
          <w:color w:val="000000"/>
          <w:sz w:val="24"/>
          <w:szCs w:val="24"/>
        </w:rPr>
        <w:t>December</w:t>
      </w:r>
    </w:p>
    <w:p w14:paraId="788D950D" w14:textId="77777777" w:rsidR="00B564EE" w:rsidRDefault="00B564EE" w:rsidP="007E5788">
      <w:pPr>
        <w:rPr>
          <w:color w:val="000000"/>
          <w:sz w:val="24"/>
          <w:szCs w:val="24"/>
        </w:rPr>
      </w:pPr>
      <w:r>
        <w:rPr>
          <w:color w:val="000000"/>
          <w:sz w:val="24"/>
          <w:szCs w:val="24"/>
        </w:rPr>
        <w:t>15</w:t>
      </w:r>
      <w:r>
        <w:rPr>
          <w:color w:val="000000"/>
          <w:sz w:val="24"/>
          <w:szCs w:val="24"/>
        </w:rPr>
        <w:tab/>
        <w:t>Close</w:t>
      </w:r>
      <w:r w:rsidR="00FA168B">
        <w:rPr>
          <w:color w:val="000000"/>
          <w:sz w:val="24"/>
          <w:szCs w:val="24"/>
        </w:rPr>
        <w:t xml:space="preserve"> out Conference Banking Account, leaving $3000 seed money</w:t>
      </w:r>
    </w:p>
    <w:p w14:paraId="6A9C19FE" w14:textId="77777777" w:rsidR="00AF0BF9" w:rsidRDefault="00AF0BF9" w:rsidP="007E5788">
      <w:pPr>
        <w:rPr>
          <w:color w:val="000000"/>
          <w:sz w:val="24"/>
          <w:szCs w:val="24"/>
        </w:rPr>
      </w:pPr>
      <w:r>
        <w:rPr>
          <w:color w:val="000000"/>
          <w:sz w:val="24"/>
          <w:szCs w:val="24"/>
        </w:rPr>
        <w:t>31</w:t>
      </w:r>
      <w:r>
        <w:rPr>
          <w:color w:val="000000"/>
          <w:sz w:val="24"/>
          <w:szCs w:val="24"/>
        </w:rPr>
        <w:tab/>
        <w:t>Send Conference Host Conference Banking Account debit card</w:t>
      </w:r>
    </w:p>
    <w:p w14:paraId="21191F74" w14:textId="068BE74E" w:rsidR="00AD3A99" w:rsidRDefault="00AD3A99" w:rsidP="007E5788">
      <w:pPr>
        <w:rPr>
          <w:color w:val="000000"/>
          <w:sz w:val="24"/>
          <w:szCs w:val="24"/>
        </w:rPr>
      </w:pPr>
      <w:r>
        <w:rPr>
          <w:color w:val="000000"/>
          <w:sz w:val="24"/>
          <w:szCs w:val="24"/>
        </w:rPr>
        <w:t>31</w:t>
      </w:r>
      <w:r>
        <w:rPr>
          <w:color w:val="000000"/>
          <w:sz w:val="24"/>
          <w:szCs w:val="24"/>
        </w:rPr>
        <w:tab/>
        <w:t>Membership Database Manager sends membership 2</w:t>
      </w:r>
      <w:r w:rsidRPr="00626382">
        <w:rPr>
          <w:color w:val="000000"/>
          <w:sz w:val="24"/>
          <w:szCs w:val="24"/>
          <w:vertAlign w:val="superscript"/>
        </w:rPr>
        <w:t>nd</w:t>
      </w:r>
      <w:r>
        <w:rPr>
          <w:color w:val="000000"/>
          <w:sz w:val="24"/>
          <w:szCs w:val="24"/>
        </w:rPr>
        <w:t xml:space="preserve"> renewal call out</w:t>
      </w:r>
    </w:p>
    <w:p w14:paraId="019E124C" w14:textId="1E67A17B" w:rsidR="00EC16E1" w:rsidRPr="006A79FD" w:rsidRDefault="00873478" w:rsidP="007E5788">
      <w:pPr>
        <w:rPr>
          <w:b/>
          <w:color w:val="000000"/>
          <w:sz w:val="24"/>
          <w:szCs w:val="24"/>
        </w:rPr>
      </w:pPr>
      <w:r>
        <w:rPr>
          <w:b/>
          <w:color w:val="000000"/>
          <w:sz w:val="24"/>
          <w:szCs w:val="24"/>
        </w:rPr>
        <w:t>GENERAL PRACTICES</w:t>
      </w:r>
    </w:p>
    <w:p w14:paraId="2830AC1A" w14:textId="77777777" w:rsidR="007D2FDE" w:rsidRPr="006A79FD" w:rsidRDefault="007D2FDE" w:rsidP="00032E3C">
      <w:pPr>
        <w:pStyle w:val="ListParagraph"/>
        <w:numPr>
          <w:ilvl w:val="0"/>
          <w:numId w:val="23"/>
        </w:numPr>
        <w:rPr>
          <w:color w:val="000000"/>
          <w:sz w:val="24"/>
          <w:szCs w:val="24"/>
        </w:rPr>
      </w:pPr>
      <w:r w:rsidRPr="006A79FD">
        <w:rPr>
          <w:color w:val="000000"/>
          <w:sz w:val="24"/>
          <w:szCs w:val="24"/>
        </w:rPr>
        <w:t xml:space="preserve">The Treasurer need not be a U.S. Citizen but must live in the U.S. </w:t>
      </w:r>
    </w:p>
    <w:p w14:paraId="6E4727A7" w14:textId="77777777" w:rsidR="006B3392" w:rsidRPr="006A79FD" w:rsidRDefault="006B3392" w:rsidP="00032E3C">
      <w:pPr>
        <w:pStyle w:val="ListParagraph"/>
        <w:numPr>
          <w:ilvl w:val="0"/>
          <w:numId w:val="23"/>
        </w:numPr>
        <w:rPr>
          <w:color w:val="000000"/>
          <w:sz w:val="24"/>
          <w:szCs w:val="24"/>
        </w:rPr>
      </w:pPr>
      <w:proofErr w:type="spellStart"/>
      <w:r w:rsidRPr="006A79FD">
        <w:rPr>
          <w:color w:val="000000"/>
          <w:sz w:val="24"/>
          <w:szCs w:val="24"/>
        </w:rPr>
        <w:t>Quickbooks</w:t>
      </w:r>
      <w:proofErr w:type="spellEnd"/>
      <w:r w:rsidRPr="006A79FD">
        <w:rPr>
          <w:color w:val="000000"/>
          <w:sz w:val="24"/>
          <w:szCs w:val="24"/>
        </w:rPr>
        <w:t xml:space="preserve"> is the official accounting system</w:t>
      </w:r>
    </w:p>
    <w:p w14:paraId="3AC91E94" w14:textId="77777777" w:rsidR="006B3392" w:rsidRPr="006A79FD" w:rsidRDefault="006B3392" w:rsidP="00032E3C">
      <w:pPr>
        <w:pStyle w:val="ListParagraph"/>
        <w:numPr>
          <w:ilvl w:val="0"/>
          <w:numId w:val="23"/>
        </w:numPr>
        <w:spacing w:before="100" w:beforeAutospacing="1" w:after="0" w:line="240" w:lineRule="auto"/>
        <w:rPr>
          <w:sz w:val="24"/>
          <w:szCs w:val="24"/>
        </w:rPr>
      </w:pPr>
      <w:r w:rsidRPr="006A79FD">
        <w:rPr>
          <w:sz w:val="24"/>
          <w:szCs w:val="24"/>
        </w:rPr>
        <w:t>The Annual Fiscal Report will be distributed to</w:t>
      </w:r>
      <w:r w:rsidR="0016410B" w:rsidRPr="006A79FD">
        <w:rPr>
          <w:sz w:val="24"/>
          <w:szCs w:val="24"/>
        </w:rPr>
        <w:t xml:space="preserve"> the membership via the website</w:t>
      </w:r>
    </w:p>
    <w:p w14:paraId="50A6DB06" w14:textId="77777777" w:rsidR="0016410B" w:rsidRDefault="0016410B" w:rsidP="00032E3C">
      <w:pPr>
        <w:pStyle w:val="ListParagraph"/>
        <w:numPr>
          <w:ilvl w:val="0"/>
          <w:numId w:val="23"/>
        </w:numPr>
        <w:spacing w:before="100" w:beforeAutospacing="1" w:after="0" w:line="240" w:lineRule="auto"/>
        <w:rPr>
          <w:sz w:val="24"/>
          <w:szCs w:val="24"/>
        </w:rPr>
      </w:pPr>
      <w:r w:rsidRPr="006A79FD">
        <w:rPr>
          <w:sz w:val="24"/>
          <w:szCs w:val="24"/>
        </w:rPr>
        <w:t>The current IAMSLIC bank account is with Wells Fargo</w:t>
      </w:r>
    </w:p>
    <w:p w14:paraId="2C2D450E" w14:textId="77777777" w:rsidR="00921610" w:rsidRDefault="00921610" w:rsidP="00032E3C">
      <w:pPr>
        <w:pStyle w:val="ListParagraph"/>
        <w:numPr>
          <w:ilvl w:val="0"/>
          <w:numId w:val="23"/>
        </w:numPr>
        <w:spacing w:before="100" w:beforeAutospacing="1" w:after="0" w:line="240" w:lineRule="auto"/>
        <w:rPr>
          <w:sz w:val="24"/>
          <w:szCs w:val="24"/>
        </w:rPr>
      </w:pPr>
      <w:r>
        <w:rPr>
          <w:sz w:val="24"/>
          <w:szCs w:val="24"/>
        </w:rPr>
        <w:t>The allocation for regional groups is $28 per member</w:t>
      </w:r>
    </w:p>
    <w:p w14:paraId="5FBEF5B0" w14:textId="77777777" w:rsidR="002E4F4B" w:rsidRPr="006A79FD" w:rsidRDefault="002E4F4B" w:rsidP="00032E3C">
      <w:pPr>
        <w:pStyle w:val="ListParagraph"/>
        <w:numPr>
          <w:ilvl w:val="0"/>
          <w:numId w:val="23"/>
        </w:numPr>
        <w:spacing w:before="100" w:beforeAutospacing="1" w:after="0" w:line="240" w:lineRule="auto"/>
        <w:rPr>
          <w:sz w:val="24"/>
          <w:szCs w:val="24"/>
        </w:rPr>
      </w:pPr>
      <w:r>
        <w:rPr>
          <w:sz w:val="24"/>
          <w:szCs w:val="24"/>
        </w:rPr>
        <w:t>A maximum of 25% of annual dues is allocated for Officer and Proceedings Editor travel grants</w:t>
      </w:r>
    </w:p>
    <w:p w14:paraId="3F4503BB" w14:textId="6910C9F6" w:rsidR="00EC16E1" w:rsidRPr="006A79FD" w:rsidRDefault="00873478" w:rsidP="007E5788">
      <w:pPr>
        <w:rPr>
          <w:i/>
          <w:color w:val="000000"/>
          <w:sz w:val="24"/>
          <w:szCs w:val="24"/>
        </w:rPr>
      </w:pPr>
      <w:r>
        <w:rPr>
          <w:i/>
          <w:color w:val="000000"/>
          <w:sz w:val="24"/>
          <w:szCs w:val="24"/>
        </w:rPr>
        <w:br/>
      </w:r>
      <w:r w:rsidR="006B3392" w:rsidRPr="006A79FD">
        <w:rPr>
          <w:i/>
          <w:color w:val="000000"/>
          <w:sz w:val="24"/>
          <w:szCs w:val="24"/>
        </w:rPr>
        <w:t>Bank accounts</w:t>
      </w:r>
    </w:p>
    <w:p w14:paraId="55ACF0B4" w14:textId="77777777" w:rsidR="006B3392" w:rsidRPr="006A79FD" w:rsidRDefault="006B3392" w:rsidP="00032E3C">
      <w:pPr>
        <w:pStyle w:val="ListParagraph"/>
        <w:numPr>
          <w:ilvl w:val="0"/>
          <w:numId w:val="24"/>
        </w:numPr>
        <w:rPr>
          <w:color w:val="000000"/>
          <w:sz w:val="24"/>
          <w:szCs w:val="24"/>
        </w:rPr>
      </w:pPr>
      <w:r w:rsidRPr="006A79FD">
        <w:rPr>
          <w:color w:val="000000"/>
          <w:sz w:val="24"/>
          <w:szCs w:val="24"/>
        </w:rPr>
        <w:t xml:space="preserve">Checking accounts will be Main, Conference and </w:t>
      </w:r>
      <w:proofErr w:type="spellStart"/>
      <w:r w:rsidRPr="006A79FD">
        <w:rPr>
          <w:color w:val="000000"/>
          <w:sz w:val="24"/>
          <w:szCs w:val="24"/>
        </w:rPr>
        <w:t>Cyamus</w:t>
      </w:r>
      <w:proofErr w:type="spellEnd"/>
      <w:r w:rsidR="007E5788" w:rsidRPr="006A79FD">
        <w:rPr>
          <w:color w:val="000000"/>
          <w:sz w:val="24"/>
          <w:szCs w:val="24"/>
        </w:rPr>
        <w:t xml:space="preserve"> (and other duly elected regional boards)</w:t>
      </w:r>
    </w:p>
    <w:p w14:paraId="669B0613" w14:textId="77777777" w:rsidR="006B3392" w:rsidRPr="006A79FD" w:rsidRDefault="006B3392" w:rsidP="00032E3C">
      <w:pPr>
        <w:pStyle w:val="ListParagraph"/>
        <w:numPr>
          <w:ilvl w:val="0"/>
          <w:numId w:val="24"/>
        </w:numPr>
        <w:rPr>
          <w:sz w:val="24"/>
          <w:szCs w:val="24"/>
        </w:rPr>
      </w:pPr>
      <w:r w:rsidRPr="006A79FD">
        <w:rPr>
          <w:sz w:val="24"/>
          <w:szCs w:val="24"/>
        </w:rPr>
        <w:t>The Treasurer and one other IAMSLIC Officer based in the USA will have signing authority on bank accounts.</w:t>
      </w:r>
    </w:p>
    <w:p w14:paraId="6444FB30" w14:textId="77777777" w:rsidR="00EC16E1" w:rsidRDefault="00EC16E1" w:rsidP="00032E3C">
      <w:pPr>
        <w:pStyle w:val="ListParagraph"/>
        <w:numPr>
          <w:ilvl w:val="0"/>
          <w:numId w:val="24"/>
        </w:numPr>
        <w:spacing w:before="100" w:beforeAutospacing="1" w:line="240" w:lineRule="auto"/>
        <w:rPr>
          <w:sz w:val="24"/>
          <w:szCs w:val="24"/>
        </w:rPr>
      </w:pPr>
      <w:r w:rsidRPr="006A79FD">
        <w:rPr>
          <w:sz w:val="24"/>
          <w:szCs w:val="24"/>
        </w:rPr>
        <w:t>The Past Treasurer will have signing authority until the annual handover is complete.</w:t>
      </w:r>
    </w:p>
    <w:p w14:paraId="45655D0B" w14:textId="77777777" w:rsidR="009A2542" w:rsidRDefault="006116BB" w:rsidP="009A2542">
      <w:pPr>
        <w:pStyle w:val="ListParagraph"/>
        <w:numPr>
          <w:ilvl w:val="0"/>
          <w:numId w:val="24"/>
        </w:numPr>
        <w:rPr>
          <w:sz w:val="24"/>
          <w:szCs w:val="24"/>
        </w:rPr>
      </w:pPr>
      <w:r w:rsidRPr="006116BB">
        <w:rPr>
          <w:sz w:val="24"/>
          <w:szCs w:val="24"/>
        </w:rPr>
        <w:t xml:space="preserve">Members are invoiced $15 to cover transfer fee (typically $15 or $16).  </w:t>
      </w:r>
    </w:p>
    <w:p w14:paraId="5CAF4B75" w14:textId="77777777" w:rsidR="006B3392" w:rsidRPr="009A2542" w:rsidRDefault="006B3392" w:rsidP="009A2542">
      <w:pPr>
        <w:rPr>
          <w:sz w:val="24"/>
          <w:szCs w:val="24"/>
        </w:rPr>
      </w:pPr>
      <w:r w:rsidRPr="009A2542">
        <w:rPr>
          <w:i/>
          <w:sz w:val="24"/>
          <w:szCs w:val="24"/>
        </w:rPr>
        <w:t>Conferences</w:t>
      </w:r>
    </w:p>
    <w:p w14:paraId="4BEEA6E3" w14:textId="77777777" w:rsidR="006B3392" w:rsidRPr="006A79FD" w:rsidRDefault="006B3392" w:rsidP="00032E3C">
      <w:pPr>
        <w:pStyle w:val="ListParagraph"/>
        <w:numPr>
          <w:ilvl w:val="0"/>
          <w:numId w:val="25"/>
        </w:numPr>
        <w:spacing w:after="0"/>
        <w:rPr>
          <w:rFonts w:eastAsia="Times New Roman" w:cstheme="minorHAnsi"/>
          <w:sz w:val="24"/>
          <w:szCs w:val="24"/>
          <w:shd w:val="clear" w:color="auto" w:fill="FFFFFF"/>
        </w:rPr>
      </w:pPr>
      <w:r w:rsidRPr="006A79FD">
        <w:rPr>
          <w:rFonts w:eastAsia="Times New Roman" w:cstheme="minorHAnsi"/>
          <w:sz w:val="24"/>
          <w:szCs w:val="24"/>
          <w:shd w:val="clear" w:color="auto" w:fill="FFFFFF"/>
        </w:rPr>
        <w:t xml:space="preserve">Use </w:t>
      </w:r>
      <w:proofErr w:type="spellStart"/>
      <w:r w:rsidRPr="006A79FD">
        <w:rPr>
          <w:rFonts w:eastAsia="Times New Roman" w:cstheme="minorHAnsi"/>
          <w:sz w:val="24"/>
          <w:szCs w:val="24"/>
          <w:shd w:val="clear" w:color="auto" w:fill="FFFFFF"/>
        </w:rPr>
        <w:t>RegOnline</w:t>
      </w:r>
      <w:proofErr w:type="spellEnd"/>
      <w:r w:rsidRPr="006A79FD">
        <w:rPr>
          <w:rFonts w:eastAsia="Times New Roman" w:cstheme="minorHAnsi"/>
          <w:sz w:val="24"/>
          <w:szCs w:val="24"/>
          <w:shd w:val="clear" w:color="auto" w:fill="FFFFFF"/>
        </w:rPr>
        <w:t xml:space="preserve"> for every IAMSLIC annual conference unless it is not possible to do so or there is a more suitable local alternative. </w:t>
      </w:r>
    </w:p>
    <w:p w14:paraId="1D853513" w14:textId="77777777" w:rsidR="006B3392" w:rsidRPr="006A79FD" w:rsidRDefault="006B3392" w:rsidP="00032E3C">
      <w:pPr>
        <w:pStyle w:val="ListParagraph"/>
        <w:numPr>
          <w:ilvl w:val="0"/>
          <w:numId w:val="25"/>
        </w:numPr>
        <w:spacing w:before="100" w:beforeAutospacing="1" w:after="0" w:line="240" w:lineRule="auto"/>
        <w:rPr>
          <w:sz w:val="24"/>
          <w:szCs w:val="24"/>
        </w:rPr>
      </w:pPr>
      <w:r w:rsidRPr="006A79FD">
        <w:rPr>
          <w:rFonts w:eastAsia="Times New Roman" w:cstheme="minorHAnsi"/>
          <w:sz w:val="24"/>
          <w:szCs w:val="24"/>
          <w:shd w:val="clear" w:color="auto" w:fill="FFFFFF"/>
        </w:rPr>
        <w:t>Non-member conference registration will include a one-year complimentary membership to IAMSLIC.</w:t>
      </w:r>
    </w:p>
    <w:p w14:paraId="1A51CEE1" w14:textId="77777777" w:rsidR="005E0B55" w:rsidRPr="006A79FD" w:rsidRDefault="00470FBD" w:rsidP="007E5788">
      <w:pPr>
        <w:pStyle w:val="NormalWeb"/>
        <w:rPr>
          <w:rFonts w:asciiTheme="minorHAnsi" w:hAnsiTheme="minorHAnsi"/>
          <w:b/>
          <w:color w:val="000000"/>
        </w:rPr>
      </w:pPr>
      <w:r w:rsidRPr="006A79FD">
        <w:rPr>
          <w:rFonts w:asciiTheme="minorHAnsi" w:hAnsiTheme="minorHAnsi"/>
          <w:b/>
          <w:color w:val="000000"/>
        </w:rPr>
        <w:t>PROCEDURES</w:t>
      </w:r>
    </w:p>
    <w:p w14:paraId="4F7A5153" w14:textId="77777777" w:rsidR="00D9644E" w:rsidRPr="006A79FD" w:rsidRDefault="007349FD" w:rsidP="007E5788">
      <w:pPr>
        <w:pStyle w:val="NormalWeb"/>
        <w:rPr>
          <w:rFonts w:asciiTheme="minorHAnsi" w:hAnsiTheme="minorHAnsi"/>
          <w:b/>
          <w:i/>
          <w:color w:val="000000"/>
        </w:rPr>
      </w:pPr>
      <w:r w:rsidRPr="006A79FD">
        <w:rPr>
          <w:rFonts w:asciiTheme="minorHAnsi" w:hAnsiTheme="minorHAnsi"/>
          <w:b/>
          <w:i/>
          <w:color w:val="000000"/>
        </w:rPr>
        <w:t>Membership Dues</w:t>
      </w:r>
    </w:p>
    <w:p w14:paraId="177145CD" w14:textId="613584B0" w:rsidR="00E720CD" w:rsidRDefault="00E720CD" w:rsidP="00D47964">
      <w:pPr>
        <w:pStyle w:val="ListParagraph"/>
        <w:numPr>
          <w:ilvl w:val="0"/>
          <w:numId w:val="31"/>
        </w:numPr>
        <w:rPr>
          <w:sz w:val="24"/>
          <w:szCs w:val="24"/>
        </w:rPr>
      </w:pPr>
      <w:r>
        <w:rPr>
          <w:sz w:val="24"/>
          <w:szCs w:val="24"/>
        </w:rPr>
        <w:t xml:space="preserve">Membership Database Manager receives notifications of membership payment by credit card from </w:t>
      </w:r>
      <w:proofErr w:type="spellStart"/>
      <w:r>
        <w:rPr>
          <w:sz w:val="24"/>
          <w:szCs w:val="24"/>
        </w:rPr>
        <w:t>RegOnline</w:t>
      </w:r>
      <w:proofErr w:type="spellEnd"/>
      <w:r>
        <w:rPr>
          <w:sz w:val="24"/>
          <w:szCs w:val="24"/>
        </w:rPr>
        <w:t xml:space="preserve"> Manager. Membership records are updated. </w:t>
      </w:r>
    </w:p>
    <w:p w14:paraId="228EB0D9" w14:textId="05932C1A" w:rsidR="00D47964" w:rsidRPr="006A79FD" w:rsidRDefault="00D47964" w:rsidP="00D47964">
      <w:pPr>
        <w:pStyle w:val="ListParagraph"/>
        <w:numPr>
          <w:ilvl w:val="0"/>
          <w:numId w:val="31"/>
        </w:numPr>
        <w:rPr>
          <w:sz w:val="24"/>
          <w:szCs w:val="24"/>
        </w:rPr>
      </w:pPr>
      <w:r w:rsidRPr="006A79FD">
        <w:rPr>
          <w:sz w:val="24"/>
          <w:szCs w:val="24"/>
        </w:rPr>
        <w:t xml:space="preserve">On a </w:t>
      </w:r>
      <w:r w:rsidR="00A73921">
        <w:rPr>
          <w:sz w:val="24"/>
          <w:szCs w:val="24"/>
        </w:rPr>
        <w:t>regular</w:t>
      </w:r>
      <w:r w:rsidR="00A73921" w:rsidRPr="006A79FD">
        <w:rPr>
          <w:sz w:val="24"/>
          <w:szCs w:val="24"/>
        </w:rPr>
        <w:t xml:space="preserve"> </w:t>
      </w:r>
      <w:r w:rsidRPr="006A79FD">
        <w:rPr>
          <w:sz w:val="24"/>
          <w:szCs w:val="24"/>
        </w:rPr>
        <w:t xml:space="preserve">basis, the Treasurer will receive a monthly check </w:t>
      </w:r>
      <w:r w:rsidR="00A73921">
        <w:rPr>
          <w:sz w:val="24"/>
          <w:szCs w:val="24"/>
        </w:rPr>
        <w:t xml:space="preserve">(or membership payments are directly deposited in the Main Banking Account) </w:t>
      </w:r>
      <w:r w:rsidRPr="006A79FD">
        <w:rPr>
          <w:sz w:val="24"/>
          <w:szCs w:val="24"/>
        </w:rPr>
        <w:t xml:space="preserve">from the </w:t>
      </w:r>
      <w:r w:rsidR="00A73921">
        <w:rPr>
          <w:sz w:val="24"/>
          <w:szCs w:val="24"/>
        </w:rPr>
        <w:t xml:space="preserve">Membership Database Manager along with a reconciliation of the payments. </w:t>
      </w:r>
      <w:r w:rsidRPr="006A79FD">
        <w:rPr>
          <w:sz w:val="24"/>
          <w:szCs w:val="24"/>
        </w:rPr>
        <w:t xml:space="preserve">. </w:t>
      </w:r>
    </w:p>
    <w:p w14:paraId="7FEFD544" w14:textId="77777777" w:rsidR="007349FD" w:rsidRPr="00626382" w:rsidRDefault="00C613D2" w:rsidP="00626382">
      <w:pPr>
        <w:rPr>
          <w:b/>
          <w:i/>
          <w:color w:val="000000"/>
        </w:rPr>
      </w:pPr>
      <w:r w:rsidRPr="00623E58">
        <w:rPr>
          <w:b/>
          <w:i/>
          <w:color w:val="000000"/>
        </w:rPr>
        <w:t xml:space="preserve">IAMSLIC </w:t>
      </w:r>
      <w:r w:rsidR="007349FD" w:rsidRPr="00626382">
        <w:rPr>
          <w:b/>
          <w:i/>
          <w:color w:val="000000"/>
        </w:rPr>
        <w:t>Conference Accounting</w:t>
      </w:r>
    </w:p>
    <w:p w14:paraId="2ED58DF0" w14:textId="77777777" w:rsidR="00C613D2" w:rsidRPr="006A79FD" w:rsidRDefault="00C613D2" w:rsidP="00C613D2">
      <w:pPr>
        <w:pStyle w:val="ListParagraph"/>
        <w:numPr>
          <w:ilvl w:val="0"/>
          <w:numId w:val="26"/>
        </w:numPr>
        <w:spacing w:after="0"/>
        <w:rPr>
          <w:sz w:val="24"/>
          <w:szCs w:val="24"/>
        </w:rPr>
      </w:pPr>
      <w:r w:rsidRPr="006A79FD">
        <w:rPr>
          <w:rFonts w:eastAsia="Times New Roman" w:cstheme="minorHAnsi"/>
          <w:sz w:val="24"/>
          <w:szCs w:val="24"/>
          <w:shd w:val="clear" w:color="auto" w:fill="FFFFFF"/>
        </w:rPr>
        <w:t>Income from registration and sponsorships should</w:t>
      </w:r>
      <w:r w:rsidR="00EA414E" w:rsidRPr="006A79FD">
        <w:rPr>
          <w:rFonts w:eastAsia="Times New Roman" w:cstheme="minorHAnsi"/>
          <w:sz w:val="24"/>
          <w:szCs w:val="24"/>
          <w:shd w:val="clear" w:color="auto" w:fill="FFFFFF"/>
        </w:rPr>
        <w:t xml:space="preserve"> be deposited </w:t>
      </w:r>
      <w:r w:rsidR="008A71B2">
        <w:rPr>
          <w:rFonts w:eastAsia="Times New Roman" w:cstheme="minorHAnsi"/>
          <w:sz w:val="24"/>
          <w:szCs w:val="24"/>
          <w:shd w:val="clear" w:color="auto" w:fill="FFFFFF"/>
        </w:rPr>
        <w:t xml:space="preserve">directly </w:t>
      </w:r>
      <w:r w:rsidR="00EA414E" w:rsidRPr="006A79FD">
        <w:rPr>
          <w:rFonts w:eastAsia="Times New Roman" w:cstheme="minorHAnsi"/>
          <w:sz w:val="24"/>
          <w:szCs w:val="24"/>
          <w:shd w:val="clear" w:color="auto" w:fill="FFFFFF"/>
        </w:rPr>
        <w:t>into the IAMSLIC C</w:t>
      </w:r>
      <w:r w:rsidRPr="006A79FD">
        <w:rPr>
          <w:rFonts w:eastAsia="Times New Roman" w:cstheme="minorHAnsi"/>
          <w:sz w:val="24"/>
          <w:szCs w:val="24"/>
          <w:shd w:val="clear" w:color="auto" w:fill="FFFFFF"/>
        </w:rPr>
        <w:t xml:space="preserve">onference </w:t>
      </w:r>
      <w:r w:rsidR="00EA414E" w:rsidRPr="006A79FD">
        <w:rPr>
          <w:rFonts w:eastAsia="Times New Roman" w:cstheme="minorHAnsi"/>
          <w:sz w:val="24"/>
          <w:szCs w:val="24"/>
          <w:shd w:val="clear" w:color="auto" w:fill="FFFFFF"/>
        </w:rPr>
        <w:t xml:space="preserve">Banking Account </w:t>
      </w:r>
      <w:r w:rsidRPr="006A79FD">
        <w:rPr>
          <w:rFonts w:eastAsia="Times New Roman" w:cstheme="minorHAnsi"/>
          <w:sz w:val="24"/>
          <w:szCs w:val="24"/>
          <w:shd w:val="clear" w:color="auto" w:fill="FFFFFF"/>
        </w:rPr>
        <w:t>whenever possible.</w:t>
      </w:r>
    </w:p>
    <w:p w14:paraId="51B2E9F5" w14:textId="77777777" w:rsidR="00C613D2" w:rsidRPr="006A79FD" w:rsidRDefault="00C613D2" w:rsidP="00C613D2">
      <w:pPr>
        <w:pStyle w:val="ListParagraph"/>
        <w:numPr>
          <w:ilvl w:val="0"/>
          <w:numId w:val="26"/>
        </w:numPr>
        <w:spacing w:after="0"/>
        <w:rPr>
          <w:sz w:val="24"/>
          <w:szCs w:val="24"/>
        </w:rPr>
      </w:pPr>
      <w:r w:rsidRPr="006A79FD">
        <w:rPr>
          <w:rFonts w:eastAsia="Times New Roman" w:cstheme="minorHAnsi"/>
          <w:sz w:val="24"/>
          <w:szCs w:val="24"/>
          <w:shd w:val="clear" w:color="auto" w:fill="FFFFFF"/>
        </w:rPr>
        <w:t xml:space="preserve">Payments should be made directly from the IAMSLIC </w:t>
      </w:r>
      <w:r w:rsidR="00EA414E" w:rsidRPr="006A79FD">
        <w:rPr>
          <w:rFonts w:eastAsia="Times New Roman" w:cstheme="minorHAnsi"/>
          <w:sz w:val="24"/>
          <w:szCs w:val="24"/>
          <w:shd w:val="clear" w:color="auto" w:fill="FFFFFF"/>
        </w:rPr>
        <w:t>Conference Banking Account</w:t>
      </w:r>
      <w:r w:rsidRPr="006A79FD">
        <w:rPr>
          <w:rFonts w:eastAsia="Times New Roman" w:cstheme="minorHAnsi"/>
          <w:sz w:val="24"/>
          <w:szCs w:val="24"/>
          <w:shd w:val="clear" w:color="auto" w:fill="FFFFFF"/>
        </w:rPr>
        <w:t xml:space="preserve"> whenever possible (or from the </w:t>
      </w:r>
      <w:r w:rsidR="00EA414E" w:rsidRPr="006A79FD">
        <w:rPr>
          <w:rFonts w:eastAsia="Times New Roman" w:cstheme="minorHAnsi"/>
          <w:sz w:val="24"/>
          <w:szCs w:val="24"/>
          <w:shd w:val="clear" w:color="auto" w:fill="FFFFFF"/>
        </w:rPr>
        <w:t>Main Banking Account</w:t>
      </w:r>
      <w:r w:rsidRPr="006A79FD">
        <w:rPr>
          <w:rFonts w:eastAsia="Times New Roman" w:cstheme="minorHAnsi"/>
          <w:sz w:val="24"/>
          <w:szCs w:val="24"/>
          <w:shd w:val="clear" w:color="auto" w:fill="FFFFFF"/>
        </w:rPr>
        <w:t xml:space="preserve"> and reimbursed from the </w:t>
      </w:r>
      <w:r w:rsidR="00EA414E" w:rsidRPr="006A79FD">
        <w:rPr>
          <w:rFonts w:eastAsia="Times New Roman" w:cstheme="minorHAnsi"/>
          <w:sz w:val="24"/>
          <w:szCs w:val="24"/>
          <w:shd w:val="clear" w:color="auto" w:fill="FFFFFF"/>
        </w:rPr>
        <w:t>Conference Banking Account</w:t>
      </w:r>
      <w:r w:rsidRPr="006A79FD">
        <w:rPr>
          <w:rFonts w:eastAsia="Times New Roman" w:cstheme="minorHAnsi"/>
          <w:sz w:val="24"/>
          <w:szCs w:val="24"/>
          <w:shd w:val="clear" w:color="auto" w:fill="FFFFFF"/>
        </w:rPr>
        <w:t>).</w:t>
      </w:r>
    </w:p>
    <w:p w14:paraId="57C63791" w14:textId="77777777" w:rsidR="00C613D2" w:rsidRPr="006A79FD" w:rsidRDefault="00C613D2" w:rsidP="00C613D2">
      <w:pPr>
        <w:pStyle w:val="ListParagraph"/>
        <w:numPr>
          <w:ilvl w:val="0"/>
          <w:numId w:val="26"/>
        </w:numPr>
        <w:rPr>
          <w:sz w:val="24"/>
          <w:szCs w:val="24"/>
        </w:rPr>
      </w:pPr>
      <w:r w:rsidRPr="006A79FD">
        <w:rPr>
          <w:sz w:val="24"/>
          <w:szCs w:val="24"/>
        </w:rPr>
        <w:t>Payments are to be made in US Dollars. Currency should be converted to reflect that</w:t>
      </w:r>
      <w:r w:rsidR="00EA414E" w:rsidRPr="006A79FD">
        <w:rPr>
          <w:sz w:val="24"/>
          <w:szCs w:val="24"/>
        </w:rPr>
        <w:t>.</w:t>
      </w:r>
    </w:p>
    <w:p w14:paraId="6A4E8E2A" w14:textId="77777777" w:rsidR="00C613D2" w:rsidRPr="006A79FD" w:rsidRDefault="00C613D2" w:rsidP="008D7D33">
      <w:pPr>
        <w:pStyle w:val="NormalWeb"/>
        <w:rPr>
          <w:rFonts w:asciiTheme="minorHAnsi" w:hAnsiTheme="minorHAnsi"/>
          <w:i/>
          <w:color w:val="000000"/>
        </w:rPr>
      </w:pPr>
      <w:proofErr w:type="spellStart"/>
      <w:r w:rsidRPr="006A79FD">
        <w:rPr>
          <w:rFonts w:asciiTheme="minorHAnsi" w:hAnsiTheme="minorHAnsi"/>
          <w:i/>
          <w:color w:val="000000"/>
        </w:rPr>
        <w:t>RegOnline</w:t>
      </w:r>
      <w:proofErr w:type="spellEnd"/>
      <w:r w:rsidR="00046F26" w:rsidRPr="006A79FD">
        <w:rPr>
          <w:rFonts w:asciiTheme="minorHAnsi" w:hAnsiTheme="minorHAnsi"/>
          <w:i/>
          <w:color w:val="000000"/>
        </w:rPr>
        <w:t xml:space="preserve"> Income</w:t>
      </w:r>
    </w:p>
    <w:p w14:paraId="62B0CEF3" w14:textId="77777777" w:rsidR="008D7D33" w:rsidRPr="006A79FD" w:rsidRDefault="00C613D2" w:rsidP="00E955E0">
      <w:pPr>
        <w:pStyle w:val="NormalWeb"/>
        <w:numPr>
          <w:ilvl w:val="0"/>
          <w:numId w:val="28"/>
        </w:numPr>
        <w:rPr>
          <w:rFonts w:asciiTheme="minorHAnsi" w:hAnsiTheme="minorHAnsi"/>
          <w:color w:val="000000"/>
        </w:rPr>
      </w:pPr>
      <w:r w:rsidRPr="006A79FD">
        <w:rPr>
          <w:rFonts w:asciiTheme="minorHAnsi" w:hAnsiTheme="minorHAnsi"/>
          <w:color w:val="000000"/>
        </w:rPr>
        <w:t xml:space="preserve">Online registration for the annual conference is done through </w:t>
      </w:r>
      <w:proofErr w:type="spellStart"/>
      <w:r w:rsidRPr="006A79FD">
        <w:rPr>
          <w:rFonts w:asciiTheme="minorHAnsi" w:hAnsiTheme="minorHAnsi"/>
          <w:color w:val="000000"/>
        </w:rPr>
        <w:t>RegOnline</w:t>
      </w:r>
      <w:proofErr w:type="spellEnd"/>
    </w:p>
    <w:p w14:paraId="34003D7C" w14:textId="77777777" w:rsidR="00C613D2" w:rsidRPr="006A79FD" w:rsidRDefault="00C613D2" w:rsidP="00E955E0">
      <w:pPr>
        <w:pStyle w:val="NormalWeb"/>
        <w:numPr>
          <w:ilvl w:val="0"/>
          <w:numId w:val="28"/>
        </w:numPr>
        <w:rPr>
          <w:rFonts w:asciiTheme="minorHAnsi" w:hAnsiTheme="minorHAnsi"/>
          <w:color w:val="000000"/>
        </w:rPr>
      </w:pPr>
      <w:r w:rsidRPr="006A79FD">
        <w:rPr>
          <w:rFonts w:asciiTheme="minorHAnsi" w:hAnsiTheme="minorHAnsi"/>
          <w:color w:val="000000"/>
        </w:rPr>
        <w:t xml:space="preserve">Registration payments through </w:t>
      </w:r>
      <w:proofErr w:type="spellStart"/>
      <w:r w:rsidRPr="006A79FD">
        <w:rPr>
          <w:rFonts w:asciiTheme="minorHAnsi" w:hAnsiTheme="minorHAnsi"/>
          <w:color w:val="000000"/>
        </w:rPr>
        <w:t>RegOnline</w:t>
      </w:r>
      <w:proofErr w:type="spellEnd"/>
      <w:r w:rsidRPr="006A79FD">
        <w:rPr>
          <w:rFonts w:asciiTheme="minorHAnsi" w:hAnsiTheme="minorHAnsi"/>
          <w:color w:val="000000"/>
        </w:rPr>
        <w:t xml:space="preserve"> will be mailed by the </w:t>
      </w:r>
      <w:proofErr w:type="spellStart"/>
      <w:r w:rsidRPr="006A79FD">
        <w:rPr>
          <w:rFonts w:asciiTheme="minorHAnsi" w:hAnsiTheme="minorHAnsi"/>
          <w:color w:val="000000"/>
        </w:rPr>
        <w:t>RegOnline</w:t>
      </w:r>
      <w:proofErr w:type="spellEnd"/>
      <w:r w:rsidRPr="006A79FD">
        <w:rPr>
          <w:rFonts w:asciiTheme="minorHAnsi" w:hAnsiTheme="minorHAnsi"/>
          <w:color w:val="000000"/>
        </w:rPr>
        <w:t xml:space="preserve"> </w:t>
      </w:r>
      <w:r w:rsidR="00EA414E" w:rsidRPr="006A79FD">
        <w:rPr>
          <w:rFonts w:asciiTheme="minorHAnsi" w:hAnsiTheme="minorHAnsi"/>
          <w:color w:val="000000"/>
        </w:rPr>
        <w:t>Manager</w:t>
      </w:r>
      <w:r w:rsidRPr="006A79FD">
        <w:rPr>
          <w:rFonts w:asciiTheme="minorHAnsi" w:hAnsiTheme="minorHAnsi"/>
          <w:color w:val="000000"/>
        </w:rPr>
        <w:t xml:space="preserve"> to the Treasurer and deposited into the Conference Banking Account</w:t>
      </w:r>
    </w:p>
    <w:p w14:paraId="08438588" w14:textId="77777777" w:rsidR="00C613D2" w:rsidRPr="006A79FD" w:rsidRDefault="00C613D2" w:rsidP="00E955E0">
      <w:pPr>
        <w:pStyle w:val="NormalWeb"/>
        <w:numPr>
          <w:ilvl w:val="0"/>
          <w:numId w:val="28"/>
        </w:numPr>
        <w:rPr>
          <w:rFonts w:asciiTheme="minorHAnsi" w:hAnsiTheme="minorHAnsi"/>
          <w:color w:val="000000"/>
        </w:rPr>
      </w:pPr>
      <w:r w:rsidRPr="006A79FD">
        <w:rPr>
          <w:rFonts w:asciiTheme="minorHAnsi" w:hAnsiTheme="minorHAnsi"/>
          <w:color w:val="000000"/>
        </w:rPr>
        <w:t xml:space="preserve">Any other form of payment for registration will be mailed/or received by the Treasurer and deposited into the Conference Banking Account. The Treasurer will notify the </w:t>
      </w:r>
      <w:proofErr w:type="spellStart"/>
      <w:r w:rsidRPr="006A79FD">
        <w:rPr>
          <w:rFonts w:asciiTheme="minorHAnsi" w:hAnsiTheme="minorHAnsi"/>
          <w:color w:val="000000"/>
        </w:rPr>
        <w:t>RegOnline</w:t>
      </w:r>
      <w:proofErr w:type="spellEnd"/>
      <w:r w:rsidRPr="006A79FD">
        <w:rPr>
          <w:rFonts w:asciiTheme="minorHAnsi" w:hAnsiTheme="minorHAnsi"/>
          <w:color w:val="000000"/>
        </w:rPr>
        <w:t xml:space="preserve"> </w:t>
      </w:r>
      <w:r w:rsidR="00EA414E" w:rsidRPr="006A79FD">
        <w:rPr>
          <w:rFonts w:asciiTheme="minorHAnsi" w:hAnsiTheme="minorHAnsi"/>
          <w:color w:val="000000"/>
        </w:rPr>
        <w:t>Manager</w:t>
      </w:r>
      <w:r w:rsidRPr="006A79FD">
        <w:rPr>
          <w:rFonts w:asciiTheme="minorHAnsi" w:hAnsiTheme="minorHAnsi"/>
          <w:color w:val="000000"/>
        </w:rPr>
        <w:t xml:space="preserve"> of the receipt of funds. The </w:t>
      </w:r>
      <w:proofErr w:type="spellStart"/>
      <w:r w:rsidRPr="006A79FD">
        <w:rPr>
          <w:rFonts w:asciiTheme="minorHAnsi" w:hAnsiTheme="minorHAnsi"/>
          <w:color w:val="000000"/>
        </w:rPr>
        <w:t>RegOnline</w:t>
      </w:r>
      <w:proofErr w:type="spellEnd"/>
      <w:r w:rsidRPr="006A79FD">
        <w:rPr>
          <w:rFonts w:asciiTheme="minorHAnsi" w:hAnsiTheme="minorHAnsi"/>
          <w:color w:val="000000"/>
        </w:rPr>
        <w:t xml:space="preserve"> database will then be updated.</w:t>
      </w:r>
    </w:p>
    <w:p w14:paraId="216670D3" w14:textId="77777777" w:rsidR="00EF2A29" w:rsidRPr="006A79FD" w:rsidRDefault="00EF2A29" w:rsidP="00E955E0">
      <w:pPr>
        <w:pStyle w:val="NormalWeb"/>
        <w:numPr>
          <w:ilvl w:val="0"/>
          <w:numId w:val="28"/>
        </w:numPr>
        <w:rPr>
          <w:rFonts w:asciiTheme="minorHAnsi" w:hAnsiTheme="minorHAnsi"/>
          <w:color w:val="000000"/>
        </w:rPr>
      </w:pPr>
      <w:r w:rsidRPr="006A79FD">
        <w:rPr>
          <w:rFonts w:asciiTheme="minorHAnsi" w:hAnsiTheme="minorHAnsi"/>
          <w:color w:val="000000"/>
        </w:rPr>
        <w:t xml:space="preserve">The </w:t>
      </w:r>
      <w:proofErr w:type="spellStart"/>
      <w:r w:rsidRPr="006A79FD">
        <w:rPr>
          <w:rFonts w:asciiTheme="minorHAnsi" w:hAnsiTheme="minorHAnsi"/>
          <w:color w:val="000000"/>
        </w:rPr>
        <w:t>RegOnline</w:t>
      </w:r>
      <w:proofErr w:type="spellEnd"/>
      <w:r w:rsidRPr="006A79FD">
        <w:rPr>
          <w:rFonts w:asciiTheme="minorHAnsi" w:hAnsiTheme="minorHAnsi"/>
          <w:color w:val="000000"/>
        </w:rPr>
        <w:t xml:space="preserve"> Manager will notify the Conference Host of </w:t>
      </w:r>
      <w:proofErr w:type="gramStart"/>
      <w:r w:rsidR="00F64CD5" w:rsidRPr="006A79FD">
        <w:rPr>
          <w:rFonts w:asciiTheme="minorHAnsi" w:hAnsiTheme="minorHAnsi"/>
          <w:color w:val="000000"/>
        </w:rPr>
        <w:t>whom</w:t>
      </w:r>
      <w:proofErr w:type="gramEnd"/>
      <w:r w:rsidR="00F64CD5" w:rsidRPr="006A79FD">
        <w:rPr>
          <w:rFonts w:asciiTheme="minorHAnsi" w:hAnsiTheme="minorHAnsi"/>
          <w:color w:val="000000"/>
        </w:rPr>
        <w:t xml:space="preserve"> has registered. </w:t>
      </w:r>
    </w:p>
    <w:p w14:paraId="72030DE4" w14:textId="77777777" w:rsidR="00C613D2" w:rsidRPr="006A79FD" w:rsidRDefault="00C613D2" w:rsidP="00E955E0">
      <w:pPr>
        <w:pStyle w:val="ListParagraph"/>
        <w:numPr>
          <w:ilvl w:val="0"/>
          <w:numId w:val="28"/>
        </w:numPr>
        <w:spacing w:after="0"/>
        <w:rPr>
          <w:sz w:val="24"/>
          <w:szCs w:val="24"/>
        </w:rPr>
      </w:pPr>
      <w:proofErr w:type="spellStart"/>
      <w:r w:rsidRPr="006A79FD">
        <w:rPr>
          <w:sz w:val="24"/>
          <w:szCs w:val="24"/>
        </w:rPr>
        <w:t>Guin</w:t>
      </w:r>
      <w:proofErr w:type="spellEnd"/>
      <w:r w:rsidRPr="006A79FD">
        <w:rPr>
          <w:sz w:val="24"/>
          <w:szCs w:val="24"/>
        </w:rPr>
        <w:t xml:space="preserve"> donations received through </w:t>
      </w:r>
      <w:proofErr w:type="spellStart"/>
      <w:r w:rsidRPr="006A79FD">
        <w:rPr>
          <w:sz w:val="24"/>
          <w:szCs w:val="24"/>
        </w:rPr>
        <w:t>RegOnline</w:t>
      </w:r>
      <w:proofErr w:type="spellEnd"/>
      <w:r w:rsidRPr="006A79FD">
        <w:rPr>
          <w:sz w:val="24"/>
          <w:szCs w:val="24"/>
        </w:rPr>
        <w:t xml:space="preserve"> are transferred to the </w:t>
      </w:r>
      <w:r w:rsidR="00EA414E" w:rsidRPr="006A79FD">
        <w:rPr>
          <w:sz w:val="24"/>
          <w:szCs w:val="24"/>
        </w:rPr>
        <w:t>Main Banking Account</w:t>
      </w:r>
    </w:p>
    <w:p w14:paraId="7A38C95A" w14:textId="77777777" w:rsidR="00C613D2" w:rsidRPr="006A79FD" w:rsidRDefault="00046F26" w:rsidP="008D7D33">
      <w:pPr>
        <w:pStyle w:val="NormalWeb"/>
        <w:rPr>
          <w:rFonts w:asciiTheme="minorHAnsi" w:hAnsiTheme="minorHAnsi"/>
          <w:i/>
          <w:color w:val="000000"/>
        </w:rPr>
      </w:pPr>
      <w:r w:rsidRPr="006A79FD">
        <w:rPr>
          <w:rFonts w:asciiTheme="minorHAnsi" w:hAnsiTheme="minorHAnsi"/>
          <w:i/>
          <w:color w:val="000000"/>
        </w:rPr>
        <w:t>On-site Income</w:t>
      </w:r>
    </w:p>
    <w:p w14:paraId="6F9186B1" w14:textId="77777777" w:rsidR="00046F26" w:rsidRPr="006A79FD" w:rsidRDefault="00046F26" w:rsidP="00046F26">
      <w:pPr>
        <w:pStyle w:val="NormalWeb"/>
        <w:numPr>
          <w:ilvl w:val="0"/>
          <w:numId w:val="29"/>
        </w:numPr>
        <w:rPr>
          <w:rFonts w:asciiTheme="minorHAnsi" w:hAnsiTheme="minorHAnsi"/>
          <w:color w:val="000000"/>
        </w:rPr>
      </w:pPr>
      <w:r w:rsidRPr="006A79FD">
        <w:rPr>
          <w:rFonts w:asciiTheme="minorHAnsi" w:hAnsiTheme="minorHAnsi"/>
          <w:color w:val="000000"/>
        </w:rPr>
        <w:t xml:space="preserve">The Treasurer will collect other forms of payment at the conference site. Registration is payable in </w:t>
      </w:r>
      <w:r w:rsidR="00355E03">
        <w:rPr>
          <w:rFonts w:asciiTheme="minorHAnsi" w:hAnsiTheme="minorHAnsi"/>
          <w:color w:val="000000"/>
        </w:rPr>
        <w:t xml:space="preserve">local </w:t>
      </w:r>
      <w:proofErr w:type="gramStart"/>
      <w:r w:rsidR="00355E03">
        <w:rPr>
          <w:rFonts w:asciiTheme="minorHAnsi" w:hAnsiTheme="minorHAnsi"/>
          <w:color w:val="000000"/>
        </w:rPr>
        <w:t xml:space="preserve">currency </w:t>
      </w:r>
      <w:r w:rsidRPr="006A79FD">
        <w:rPr>
          <w:rFonts w:asciiTheme="minorHAnsi" w:hAnsiTheme="minorHAnsi"/>
          <w:color w:val="000000"/>
        </w:rPr>
        <w:t xml:space="preserve"> at</w:t>
      </w:r>
      <w:proofErr w:type="gramEnd"/>
      <w:r w:rsidRPr="006A79FD">
        <w:rPr>
          <w:rFonts w:asciiTheme="minorHAnsi" w:hAnsiTheme="minorHAnsi"/>
          <w:color w:val="000000"/>
        </w:rPr>
        <w:t xml:space="preserve"> that day’s </w:t>
      </w:r>
      <w:r w:rsidR="00355E03">
        <w:rPr>
          <w:rFonts w:asciiTheme="minorHAnsi" w:hAnsiTheme="minorHAnsi"/>
          <w:color w:val="000000"/>
        </w:rPr>
        <w:t xml:space="preserve">US Dollar </w:t>
      </w:r>
      <w:r w:rsidRPr="006A79FD">
        <w:rPr>
          <w:rFonts w:asciiTheme="minorHAnsi" w:hAnsiTheme="minorHAnsi"/>
          <w:color w:val="000000"/>
        </w:rPr>
        <w:t>currency exchange rate.</w:t>
      </w:r>
    </w:p>
    <w:p w14:paraId="3CE91E06" w14:textId="77777777" w:rsidR="00046F26" w:rsidRPr="006A79FD" w:rsidRDefault="00046F26" w:rsidP="00046F26">
      <w:pPr>
        <w:pStyle w:val="NormalWeb"/>
        <w:numPr>
          <w:ilvl w:val="0"/>
          <w:numId w:val="29"/>
        </w:numPr>
        <w:rPr>
          <w:rFonts w:asciiTheme="minorHAnsi" w:hAnsiTheme="minorHAnsi"/>
          <w:color w:val="000000"/>
        </w:rPr>
      </w:pPr>
      <w:r w:rsidRPr="006A79FD">
        <w:rPr>
          <w:rFonts w:asciiTheme="minorHAnsi" w:hAnsiTheme="minorHAnsi"/>
          <w:color w:val="000000"/>
        </w:rPr>
        <w:t xml:space="preserve">On-site registration information will be given to the </w:t>
      </w:r>
      <w:proofErr w:type="spellStart"/>
      <w:r w:rsidRPr="006A79FD">
        <w:rPr>
          <w:rFonts w:asciiTheme="minorHAnsi" w:hAnsiTheme="minorHAnsi"/>
          <w:color w:val="000000"/>
        </w:rPr>
        <w:t>RegOnline</w:t>
      </w:r>
      <w:proofErr w:type="spellEnd"/>
      <w:r w:rsidRPr="006A79FD">
        <w:rPr>
          <w:rFonts w:asciiTheme="minorHAnsi" w:hAnsiTheme="minorHAnsi"/>
          <w:color w:val="000000"/>
        </w:rPr>
        <w:t xml:space="preserve"> Manager and Conference Host immediately.</w:t>
      </w:r>
    </w:p>
    <w:p w14:paraId="5631B168" w14:textId="77777777" w:rsidR="00046F26" w:rsidRPr="006A79FD" w:rsidRDefault="00046F26" w:rsidP="00046F26">
      <w:pPr>
        <w:pStyle w:val="NormalWeb"/>
        <w:numPr>
          <w:ilvl w:val="0"/>
          <w:numId w:val="29"/>
        </w:numPr>
        <w:rPr>
          <w:rFonts w:asciiTheme="minorHAnsi" w:hAnsiTheme="minorHAnsi"/>
          <w:color w:val="000000"/>
        </w:rPr>
      </w:pPr>
      <w:r w:rsidRPr="006A79FD">
        <w:rPr>
          <w:rFonts w:asciiTheme="minorHAnsi" w:hAnsiTheme="minorHAnsi"/>
          <w:color w:val="000000"/>
        </w:rPr>
        <w:t>Monies collected on-site will be deposited into the Conference Banking Account as soon as possible.</w:t>
      </w:r>
    </w:p>
    <w:p w14:paraId="4B6FCBD5" w14:textId="77777777" w:rsidR="00B4571D" w:rsidRPr="006A79FD" w:rsidRDefault="00B4571D" w:rsidP="00C613D2">
      <w:pPr>
        <w:spacing w:after="0"/>
        <w:rPr>
          <w:rFonts w:eastAsia="Times New Roman" w:cstheme="minorHAnsi"/>
          <w:i/>
          <w:sz w:val="24"/>
          <w:szCs w:val="24"/>
          <w:shd w:val="clear" w:color="auto" w:fill="FFFFFF"/>
        </w:rPr>
      </w:pPr>
      <w:r w:rsidRPr="006A79FD">
        <w:rPr>
          <w:rFonts w:eastAsia="Times New Roman" w:cstheme="minorHAnsi"/>
          <w:i/>
          <w:sz w:val="24"/>
          <w:szCs w:val="24"/>
          <w:shd w:val="clear" w:color="auto" w:fill="FFFFFF"/>
        </w:rPr>
        <w:t>Other forms of registration income</w:t>
      </w:r>
    </w:p>
    <w:p w14:paraId="1AEB772F" w14:textId="77777777" w:rsidR="00B4571D" w:rsidRPr="006A79FD" w:rsidRDefault="00B4571D" w:rsidP="00B4571D">
      <w:pPr>
        <w:pStyle w:val="ListParagraph"/>
        <w:numPr>
          <w:ilvl w:val="0"/>
          <w:numId w:val="30"/>
        </w:numPr>
        <w:rPr>
          <w:sz w:val="24"/>
          <w:szCs w:val="24"/>
        </w:rPr>
      </w:pPr>
      <w:r w:rsidRPr="006A79FD">
        <w:rPr>
          <w:sz w:val="24"/>
          <w:szCs w:val="24"/>
        </w:rPr>
        <w:t xml:space="preserve">Registration may be wired to the Conference Banking Account. Wire Transfer Fees should be included in the registration. </w:t>
      </w:r>
    </w:p>
    <w:p w14:paraId="56480084" w14:textId="77777777" w:rsidR="00B4571D" w:rsidRPr="006A79FD" w:rsidRDefault="00B4571D" w:rsidP="00B4571D">
      <w:pPr>
        <w:pStyle w:val="ListParagraph"/>
        <w:numPr>
          <w:ilvl w:val="0"/>
          <w:numId w:val="30"/>
        </w:numPr>
        <w:rPr>
          <w:sz w:val="24"/>
          <w:szCs w:val="24"/>
        </w:rPr>
      </w:pPr>
      <w:r w:rsidRPr="006A79FD">
        <w:rPr>
          <w:sz w:val="24"/>
          <w:szCs w:val="24"/>
        </w:rPr>
        <w:t xml:space="preserve">An email with registration information must be </w:t>
      </w:r>
      <w:r w:rsidR="008A71B2">
        <w:rPr>
          <w:sz w:val="24"/>
          <w:szCs w:val="24"/>
        </w:rPr>
        <w:t>sent</w:t>
      </w:r>
      <w:r w:rsidRPr="006A79FD">
        <w:rPr>
          <w:sz w:val="24"/>
          <w:szCs w:val="24"/>
        </w:rPr>
        <w:t xml:space="preserve"> to the Treasurer before wiring the funds.</w:t>
      </w:r>
    </w:p>
    <w:p w14:paraId="2348BBDF" w14:textId="77777777" w:rsidR="00B4571D" w:rsidRPr="006A79FD" w:rsidRDefault="00B4571D" w:rsidP="00B4571D">
      <w:pPr>
        <w:pStyle w:val="ListParagraph"/>
        <w:numPr>
          <w:ilvl w:val="0"/>
          <w:numId w:val="30"/>
        </w:numPr>
        <w:rPr>
          <w:sz w:val="24"/>
          <w:szCs w:val="24"/>
        </w:rPr>
      </w:pPr>
      <w:r w:rsidRPr="006A79FD">
        <w:rPr>
          <w:sz w:val="24"/>
          <w:szCs w:val="24"/>
        </w:rPr>
        <w:t xml:space="preserve">Registration information will be given to the </w:t>
      </w:r>
      <w:proofErr w:type="spellStart"/>
      <w:r w:rsidRPr="006A79FD">
        <w:rPr>
          <w:sz w:val="24"/>
          <w:szCs w:val="24"/>
        </w:rPr>
        <w:t>RegOnline</w:t>
      </w:r>
      <w:proofErr w:type="spellEnd"/>
      <w:r w:rsidRPr="006A79FD">
        <w:rPr>
          <w:sz w:val="24"/>
          <w:szCs w:val="24"/>
        </w:rPr>
        <w:t xml:space="preserve"> Manager and the Conference Host</w:t>
      </w:r>
    </w:p>
    <w:p w14:paraId="385C0D6A" w14:textId="77777777" w:rsidR="00C613D2" w:rsidRPr="006A79FD" w:rsidRDefault="00C613D2" w:rsidP="00C613D2">
      <w:pPr>
        <w:spacing w:after="0"/>
        <w:rPr>
          <w:rFonts w:eastAsia="Times New Roman" w:cstheme="minorHAnsi"/>
          <w:i/>
          <w:sz w:val="24"/>
          <w:szCs w:val="24"/>
          <w:shd w:val="clear" w:color="auto" w:fill="FFFFFF"/>
        </w:rPr>
      </w:pPr>
      <w:r w:rsidRPr="006A79FD">
        <w:rPr>
          <w:rFonts w:eastAsia="Times New Roman" w:cstheme="minorHAnsi"/>
          <w:i/>
          <w:sz w:val="24"/>
          <w:szCs w:val="24"/>
          <w:shd w:val="clear" w:color="auto" w:fill="FFFFFF"/>
        </w:rPr>
        <w:t>Conference Expenses</w:t>
      </w:r>
    </w:p>
    <w:p w14:paraId="3E7B6636" w14:textId="77777777" w:rsidR="00E955E0" w:rsidRPr="006A79FD" w:rsidRDefault="00E955E0" w:rsidP="00E955E0">
      <w:pPr>
        <w:pStyle w:val="ListParagraph"/>
        <w:numPr>
          <w:ilvl w:val="0"/>
          <w:numId w:val="27"/>
        </w:numPr>
        <w:spacing w:after="0"/>
        <w:rPr>
          <w:rFonts w:eastAsia="Times New Roman" w:cstheme="minorHAnsi"/>
          <w:sz w:val="24"/>
          <w:szCs w:val="24"/>
          <w:shd w:val="clear" w:color="auto" w:fill="FFFFFF"/>
        </w:rPr>
      </w:pPr>
      <w:r w:rsidRPr="006A79FD">
        <w:rPr>
          <w:rFonts w:eastAsia="Times New Roman" w:cstheme="minorHAnsi"/>
          <w:sz w:val="24"/>
          <w:szCs w:val="24"/>
          <w:shd w:val="clear" w:color="auto" w:fill="FFFFFF"/>
        </w:rPr>
        <w:t xml:space="preserve">At the end of the </w:t>
      </w:r>
      <w:r w:rsidR="00355E03">
        <w:rPr>
          <w:rFonts w:eastAsia="Times New Roman" w:cstheme="minorHAnsi"/>
          <w:sz w:val="24"/>
          <w:szCs w:val="24"/>
          <w:shd w:val="clear" w:color="auto" w:fill="FFFFFF"/>
        </w:rPr>
        <w:t>calendar</w:t>
      </w:r>
      <w:r w:rsidR="00355E03" w:rsidRPr="006A79FD">
        <w:rPr>
          <w:rFonts w:eastAsia="Times New Roman" w:cstheme="minorHAnsi"/>
          <w:sz w:val="24"/>
          <w:szCs w:val="24"/>
          <w:shd w:val="clear" w:color="auto" w:fill="FFFFFF"/>
        </w:rPr>
        <w:t xml:space="preserve"> </w:t>
      </w:r>
      <w:r w:rsidRPr="006A79FD">
        <w:rPr>
          <w:rFonts w:eastAsia="Times New Roman" w:cstheme="minorHAnsi"/>
          <w:sz w:val="24"/>
          <w:szCs w:val="24"/>
          <w:shd w:val="clear" w:color="auto" w:fill="FFFFFF"/>
        </w:rPr>
        <w:t>year the Conference Banking Account is to be left with $3000 as a starting balance. Any monies beyond that will be transferred to the Main Banking Account as Conference Profit.</w:t>
      </w:r>
    </w:p>
    <w:p w14:paraId="1F0D0321" w14:textId="77777777" w:rsidR="00E955E0" w:rsidRPr="006A79FD" w:rsidRDefault="00E955E0" w:rsidP="00E955E0">
      <w:pPr>
        <w:pStyle w:val="ListParagraph"/>
        <w:numPr>
          <w:ilvl w:val="0"/>
          <w:numId w:val="27"/>
        </w:numPr>
        <w:spacing w:after="0"/>
        <w:rPr>
          <w:rFonts w:eastAsia="Times New Roman" w:cstheme="minorHAnsi"/>
          <w:sz w:val="24"/>
          <w:szCs w:val="24"/>
          <w:shd w:val="clear" w:color="auto" w:fill="FFFFFF"/>
        </w:rPr>
      </w:pPr>
      <w:r w:rsidRPr="006A79FD">
        <w:rPr>
          <w:rFonts w:eastAsia="Times New Roman" w:cstheme="minorHAnsi"/>
          <w:sz w:val="24"/>
          <w:szCs w:val="24"/>
          <w:shd w:val="clear" w:color="auto" w:fill="FFFFFF"/>
        </w:rPr>
        <w:t xml:space="preserve">The beginning balance can be transferred to the Conference Host to be deposited in a local account. </w:t>
      </w:r>
    </w:p>
    <w:p w14:paraId="513DD6D7" w14:textId="77777777" w:rsidR="008D7D33" w:rsidRPr="006A79FD" w:rsidRDefault="008D7D33" w:rsidP="00E955E0">
      <w:pPr>
        <w:pStyle w:val="ListParagraph"/>
        <w:numPr>
          <w:ilvl w:val="0"/>
          <w:numId w:val="27"/>
        </w:numPr>
        <w:spacing w:after="0"/>
        <w:rPr>
          <w:rFonts w:eastAsia="Times New Roman" w:cstheme="minorHAnsi"/>
          <w:sz w:val="24"/>
          <w:szCs w:val="24"/>
          <w:shd w:val="clear" w:color="auto" w:fill="FFFFFF"/>
        </w:rPr>
      </w:pPr>
      <w:r w:rsidRPr="006A79FD">
        <w:rPr>
          <w:rFonts w:eastAsia="Times New Roman" w:cstheme="minorHAnsi"/>
          <w:sz w:val="24"/>
          <w:szCs w:val="24"/>
          <w:shd w:val="clear" w:color="auto" w:fill="FFFFFF"/>
        </w:rPr>
        <w:t>Where possible, the conference host is provided with an ATM card for the IAMSLIC conference account in order to make payments locally</w:t>
      </w:r>
      <w:r w:rsidR="00E955E0" w:rsidRPr="006A79FD">
        <w:rPr>
          <w:rFonts w:eastAsia="Times New Roman" w:cstheme="minorHAnsi"/>
          <w:sz w:val="24"/>
          <w:szCs w:val="24"/>
          <w:shd w:val="clear" w:color="auto" w:fill="FFFFFF"/>
        </w:rPr>
        <w:t xml:space="preserve"> from the Conference Banking Account</w:t>
      </w:r>
      <w:r w:rsidRPr="006A79FD">
        <w:rPr>
          <w:rFonts w:eastAsia="Times New Roman" w:cstheme="minorHAnsi"/>
          <w:sz w:val="24"/>
          <w:szCs w:val="24"/>
          <w:shd w:val="clear" w:color="auto" w:fill="FFFFFF"/>
        </w:rPr>
        <w:t>. Otherwise the Treasurer can wire funds to a local conference account.</w:t>
      </w:r>
    </w:p>
    <w:p w14:paraId="4C67C561" w14:textId="77777777" w:rsidR="00456677" w:rsidRDefault="00456677" w:rsidP="00C613D2">
      <w:pPr>
        <w:spacing w:after="0"/>
        <w:rPr>
          <w:rFonts w:eastAsia="Times New Roman" w:cstheme="minorHAnsi"/>
          <w:i/>
          <w:sz w:val="24"/>
          <w:szCs w:val="24"/>
          <w:shd w:val="clear" w:color="auto" w:fill="FFFFFF"/>
        </w:rPr>
      </w:pPr>
    </w:p>
    <w:p w14:paraId="4420CA4B" w14:textId="77777777" w:rsidR="00873478" w:rsidRDefault="00873478" w:rsidP="00C613D2">
      <w:pPr>
        <w:spacing w:after="0"/>
        <w:rPr>
          <w:rFonts w:eastAsia="Times New Roman" w:cstheme="minorHAnsi"/>
          <w:i/>
          <w:sz w:val="24"/>
          <w:szCs w:val="24"/>
          <w:shd w:val="clear" w:color="auto" w:fill="FFFFFF"/>
        </w:rPr>
      </w:pPr>
    </w:p>
    <w:p w14:paraId="38FD769D" w14:textId="77777777" w:rsidR="00873478" w:rsidRDefault="00873478" w:rsidP="00C613D2">
      <w:pPr>
        <w:spacing w:after="0"/>
        <w:rPr>
          <w:rFonts w:eastAsia="Times New Roman" w:cstheme="minorHAnsi"/>
          <w:i/>
          <w:sz w:val="24"/>
          <w:szCs w:val="24"/>
          <w:shd w:val="clear" w:color="auto" w:fill="FFFFFF"/>
        </w:rPr>
      </w:pPr>
    </w:p>
    <w:p w14:paraId="440BFAD2" w14:textId="77777777" w:rsidR="00C613D2" w:rsidRPr="006A79FD" w:rsidRDefault="00C613D2" w:rsidP="00C613D2">
      <w:pPr>
        <w:spacing w:after="0"/>
        <w:rPr>
          <w:rFonts w:eastAsia="Times New Roman" w:cstheme="minorHAnsi"/>
          <w:i/>
          <w:sz w:val="24"/>
          <w:szCs w:val="24"/>
          <w:shd w:val="clear" w:color="auto" w:fill="FFFFFF"/>
        </w:rPr>
      </w:pPr>
      <w:r w:rsidRPr="006A79FD">
        <w:rPr>
          <w:rFonts w:eastAsia="Times New Roman" w:cstheme="minorHAnsi"/>
          <w:i/>
          <w:sz w:val="24"/>
          <w:szCs w:val="24"/>
          <w:shd w:val="clear" w:color="auto" w:fill="FFFFFF"/>
        </w:rPr>
        <w:t>Conference Reporting</w:t>
      </w:r>
    </w:p>
    <w:p w14:paraId="1AA2294D" w14:textId="77777777" w:rsidR="008D7D33" w:rsidRPr="006A79FD" w:rsidRDefault="008D7D33" w:rsidP="00E955E0">
      <w:pPr>
        <w:pStyle w:val="ListParagraph"/>
        <w:numPr>
          <w:ilvl w:val="0"/>
          <w:numId w:val="27"/>
        </w:numPr>
        <w:spacing w:after="0"/>
        <w:rPr>
          <w:sz w:val="24"/>
          <w:szCs w:val="24"/>
        </w:rPr>
      </w:pPr>
      <w:r w:rsidRPr="006A79FD">
        <w:rPr>
          <w:rFonts w:eastAsia="Times New Roman" w:cstheme="minorHAnsi"/>
          <w:sz w:val="24"/>
          <w:szCs w:val="24"/>
          <w:shd w:val="clear" w:color="auto" w:fill="FFFFFF"/>
        </w:rPr>
        <w:t xml:space="preserve">After the conference, the host </w:t>
      </w:r>
      <w:r w:rsidR="008A71B2">
        <w:rPr>
          <w:rFonts w:eastAsia="Times New Roman" w:cstheme="minorHAnsi"/>
          <w:sz w:val="24"/>
          <w:szCs w:val="24"/>
          <w:shd w:val="clear" w:color="auto" w:fill="FFFFFF"/>
        </w:rPr>
        <w:t xml:space="preserve">with assistance from the Conference Convener and Treasurer </w:t>
      </w:r>
      <w:r w:rsidRPr="006A79FD">
        <w:rPr>
          <w:rFonts w:eastAsia="Times New Roman" w:cstheme="minorHAnsi"/>
          <w:sz w:val="24"/>
          <w:szCs w:val="24"/>
          <w:shd w:val="clear" w:color="auto" w:fill="FFFFFF"/>
        </w:rPr>
        <w:t>produces a financial report showing all income and expenditures associated with the conference.</w:t>
      </w:r>
    </w:p>
    <w:p w14:paraId="1137211A" w14:textId="77777777" w:rsidR="007349FD" w:rsidRPr="006A79FD" w:rsidRDefault="007349FD" w:rsidP="007E5788">
      <w:pPr>
        <w:pStyle w:val="NormalWeb"/>
        <w:rPr>
          <w:rFonts w:asciiTheme="minorHAnsi" w:hAnsiTheme="minorHAnsi"/>
          <w:b/>
          <w:i/>
          <w:color w:val="000000"/>
        </w:rPr>
      </w:pPr>
      <w:r w:rsidRPr="006A79FD">
        <w:rPr>
          <w:rFonts w:asciiTheme="minorHAnsi" w:hAnsiTheme="minorHAnsi"/>
          <w:b/>
          <w:i/>
          <w:color w:val="000000"/>
        </w:rPr>
        <w:t>Regional Group Accounting</w:t>
      </w:r>
    </w:p>
    <w:p w14:paraId="37D6A802" w14:textId="5E747DB4" w:rsidR="00A92127" w:rsidRDefault="00A92127" w:rsidP="00E955E0">
      <w:pPr>
        <w:pStyle w:val="NormalWeb"/>
        <w:numPr>
          <w:ilvl w:val="0"/>
          <w:numId w:val="27"/>
        </w:numPr>
        <w:rPr>
          <w:rFonts w:asciiTheme="minorHAnsi" w:hAnsiTheme="minorHAnsi"/>
        </w:rPr>
      </w:pPr>
      <w:r>
        <w:rPr>
          <w:rFonts w:asciiTheme="minorHAnsi" w:hAnsiTheme="minorHAnsi"/>
        </w:rPr>
        <w:t>It is recommended that regional groups use the IAMSLIC registration system (</w:t>
      </w:r>
      <w:proofErr w:type="spellStart"/>
      <w:r>
        <w:rPr>
          <w:rFonts w:asciiTheme="minorHAnsi" w:hAnsiTheme="minorHAnsi"/>
        </w:rPr>
        <w:t>RegOnline</w:t>
      </w:r>
      <w:proofErr w:type="spellEnd"/>
      <w:r>
        <w:rPr>
          <w:rFonts w:asciiTheme="minorHAnsi" w:hAnsiTheme="minorHAnsi"/>
        </w:rPr>
        <w:t xml:space="preserve"> as of March, 2015) for their conference registration. Regional groups are responsible for any setup fees related to the registration system. </w:t>
      </w:r>
    </w:p>
    <w:p w14:paraId="3EA86D43" w14:textId="195FE2D2" w:rsidR="00A92127" w:rsidRDefault="00A92127" w:rsidP="00E955E0">
      <w:pPr>
        <w:pStyle w:val="NormalWeb"/>
        <w:numPr>
          <w:ilvl w:val="0"/>
          <w:numId w:val="27"/>
        </w:numPr>
        <w:rPr>
          <w:rFonts w:asciiTheme="minorHAnsi" w:hAnsiTheme="minorHAnsi"/>
        </w:rPr>
      </w:pPr>
      <w:r>
        <w:rPr>
          <w:rFonts w:asciiTheme="minorHAnsi" w:hAnsiTheme="minorHAnsi"/>
        </w:rPr>
        <w:t xml:space="preserve">Regional group members wishing to make regional conference payments with a method other than credit cards can use bank transfers or mail payment to the IAMSLIC treasurer. Check, money order, bank draft or cash payments may also be made to the local conference coordinator in local currency. </w:t>
      </w:r>
    </w:p>
    <w:p w14:paraId="0AFDAC1A" w14:textId="77777777" w:rsidR="008D7D33" w:rsidRPr="006A79FD" w:rsidRDefault="008D7D33" w:rsidP="00E955E0">
      <w:pPr>
        <w:pStyle w:val="NormalWeb"/>
        <w:numPr>
          <w:ilvl w:val="0"/>
          <w:numId w:val="27"/>
        </w:numPr>
        <w:rPr>
          <w:rFonts w:asciiTheme="minorHAnsi" w:hAnsiTheme="minorHAnsi"/>
        </w:rPr>
      </w:pPr>
      <w:r w:rsidRPr="006A79FD">
        <w:rPr>
          <w:rFonts w:asciiTheme="minorHAnsi" w:hAnsiTheme="minorHAnsi"/>
        </w:rPr>
        <w:t>Regional groups have the option of carrying over unspent funds into future fiscal years.</w:t>
      </w:r>
    </w:p>
    <w:p w14:paraId="40C02A20" w14:textId="77777777" w:rsidR="00E955E0" w:rsidRPr="006A79FD" w:rsidRDefault="00E955E0" w:rsidP="00E955E0">
      <w:pPr>
        <w:pStyle w:val="ListParagraph"/>
        <w:numPr>
          <w:ilvl w:val="0"/>
          <w:numId w:val="27"/>
        </w:numPr>
        <w:rPr>
          <w:sz w:val="24"/>
          <w:szCs w:val="24"/>
        </w:rPr>
      </w:pPr>
      <w:r w:rsidRPr="006A79FD">
        <w:rPr>
          <w:sz w:val="24"/>
          <w:szCs w:val="24"/>
        </w:rPr>
        <w:t xml:space="preserve">AFRIAMSLIC, EURASLIC, Latin American Regional Group, Pacific Islands Regional Group and SAIL write a </w:t>
      </w:r>
      <w:r w:rsidR="00815DF3">
        <w:rPr>
          <w:sz w:val="24"/>
          <w:szCs w:val="24"/>
        </w:rPr>
        <w:t>budget</w:t>
      </w:r>
      <w:r w:rsidRPr="006A79FD">
        <w:rPr>
          <w:sz w:val="24"/>
          <w:szCs w:val="24"/>
        </w:rPr>
        <w:t xml:space="preserve"> and submit it to the </w:t>
      </w:r>
      <w:r w:rsidR="00815DF3">
        <w:rPr>
          <w:sz w:val="24"/>
          <w:szCs w:val="24"/>
        </w:rPr>
        <w:t>IAMSLIC</w:t>
      </w:r>
      <w:r w:rsidR="00815DF3" w:rsidRPr="006A79FD">
        <w:rPr>
          <w:sz w:val="24"/>
          <w:szCs w:val="24"/>
        </w:rPr>
        <w:t xml:space="preserve"> </w:t>
      </w:r>
      <w:r w:rsidRPr="006A79FD">
        <w:rPr>
          <w:sz w:val="24"/>
          <w:szCs w:val="24"/>
        </w:rPr>
        <w:t>Executive Board for approval. Funds remain in the main IAMSLIC account until required by the regional group. Members are reimbursed for expenses by the IAMSLIC Treasury, or advanced funds if necessary.</w:t>
      </w:r>
    </w:p>
    <w:p w14:paraId="271CEECF" w14:textId="77777777" w:rsidR="00E955E0" w:rsidRPr="006A79FD" w:rsidRDefault="00E955E0" w:rsidP="00E955E0">
      <w:pPr>
        <w:pStyle w:val="ListParagraph"/>
        <w:numPr>
          <w:ilvl w:val="0"/>
          <w:numId w:val="27"/>
        </w:numPr>
        <w:rPr>
          <w:sz w:val="24"/>
          <w:szCs w:val="24"/>
        </w:rPr>
      </w:pPr>
      <w:proofErr w:type="spellStart"/>
      <w:r w:rsidRPr="006A79FD">
        <w:rPr>
          <w:sz w:val="24"/>
          <w:szCs w:val="24"/>
        </w:rPr>
        <w:t>Cyamus</w:t>
      </w:r>
      <w:proofErr w:type="spellEnd"/>
      <w:r w:rsidRPr="006A79FD">
        <w:rPr>
          <w:sz w:val="24"/>
          <w:szCs w:val="24"/>
        </w:rPr>
        <w:t xml:space="preserve"> maintains its own treasury and therefore is not required to submit a budget to the IAMSLIC Executive Board. The </w:t>
      </w:r>
      <w:r w:rsidR="006A79FD">
        <w:rPr>
          <w:sz w:val="24"/>
          <w:szCs w:val="24"/>
        </w:rPr>
        <w:t xml:space="preserve">Annual Allocation </w:t>
      </w:r>
      <w:r w:rsidRPr="006A79FD">
        <w:rPr>
          <w:sz w:val="24"/>
          <w:szCs w:val="24"/>
        </w:rPr>
        <w:t xml:space="preserve">amount is transferred to the </w:t>
      </w:r>
      <w:proofErr w:type="spellStart"/>
      <w:r w:rsidRPr="006A79FD">
        <w:rPr>
          <w:sz w:val="24"/>
          <w:szCs w:val="24"/>
        </w:rPr>
        <w:t>Cyamus</w:t>
      </w:r>
      <w:proofErr w:type="spellEnd"/>
      <w:r w:rsidRPr="006A79FD">
        <w:rPr>
          <w:sz w:val="24"/>
          <w:szCs w:val="24"/>
        </w:rPr>
        <w:t xml:space="preserve"> account and is managed by their Board.</w:t>
      </w:r>
    </w:p>
    <w:p w14:paraId="1C02453B" w14:textId="77777777" w:rsidR="00E955E0" w:rsidRDefault="00E955E0" w:rsidP="00E955E0">
      <w:pPr>
        <w:pStyle w:val="ListParagraph"/>
        <w:numPr>
          <w:ilvl w:val="0"/>
          <w:numId w:val="27"/>
        </w:numPr>
        <w:rPr>
          <w:sz w:val="24"/>
          <w:szCs w:val="24"/>
        </w:rPr>
      </w:pPr>
      <w:r w:rsidRPr="006A79FD">
        <w:rPr>
          <w:sz w:val="24"/>
          <w:szCs w:val="24"/>
        </w:rPr>
        <w:t xml:space="preserve">All regional groups (including </w:t>
      </w:r>
      <w:proofErr w:type="spellStart"/>
      <w:r w:rsidRPr="006A79FD">
        <w:rPr>
          <w:sz w:val="24"/>
          <w:szCs w:val="24"/>
        </w:rPr>
        <w:t>Cyamus</w:t>
      </w:r>
      <w:proofErr w:type="spellEnd"/>
      <w:r w:rsidRPr="006A79FD">
        <w:rPr>
          <w:sz w:val="24"/>
          <w:szCs w:val="24"/>
        </w:rPr>
        <w:t>) submit a</w:t>
      </w:r>
      <w:r w:rsidR="006A79FD">
        <w:rPr>
          <w:sz w:val="24"/>
          <w:szCs w:val="24"/>
        </w:rPr>
        <w:t xml:space="preserve">n annual </w:t>
      </w:r>
      <w:r w:rsidRPr="006A79FD">
        <w:rPr>
          <w:sz w:val="24"/>
          <w:szCs w:val="24"/>
        </w:rPr>
        <w:t>financial report as part of the annual report.</w:t>
      </w:r>
    </w:p>
    <w:p w14:paraId="1E26AD98" w14:textId="77777777" w:rsidR="003638EE" w:rsidRPr="006A79FD" w:rsidRDefault="003638EE" w:rsidP="00E955E0">
      <w:pPr>
        <w:pStyle w:val="ListParagraph"/>
        <w:numPr>
          <w:ilvl w:val="0"/>
          <w:numId w:val="27"/>
        </w:numPr>
        <w:rPr>
          <w:sz w:val="24"/>
          <w:szCs w:val="24"/>
        </w:rPr>
      </w:pPr>
      <w:r>
        <w:rPr>
          <w:sz w:val="24"/>
          <w:szCs w:val="24"/>
        </w:rPr>
        <w:t>Annual Allocations for regional groups should be encumbered in the Main Banking Account</w:t>
      </w:r>
    </w:p>
    <w:p w14:paraId="4CDE6CCC" w14:textId="77777777" w:rsidR="007349FD" w:rsidRPr="006A79FD" w:rsidRDefault="007349FD" w:rsidP="007E5788">
      <w:pPr>
        <w:pStyle w:val="NormalWeb"/>
        <w:rPr>
          <w:rFonts w:asciiTheme="minorHAnsi" w:hAnsiTheme="minorHAnsi"/>
          <w:b/>
          <w:i/>
          <w:color w:val="000000"/>
        </w:rPr>
      </w:pPr>
      <w:r w:rsidRPr="006A79FD">
        <w:rPr>
          <w:rFonts w:asciiTheme="minorHAnsi" w:hAnsiTheme="minorHAnsi"/>
          <w:b/>
          <w:i/>
          <w:color w:val="000000"/>
        </w:rPr>
        <w:t>Travel Grants</w:t>
      </w:r>
    </w:p>
    <w:p w14:paraId="0C009A04" w14:textId="77777777" w:rsidR="00E07753" w:rsidRPr="00314794" w:rsidRDefault="00E07753" w:rsidP="00314794">
      <w:pPr>
        <w:pStyle w:val="ListParagraph"/>
        <w:numPr>
          <w:ilvl w:val="0"/>
          <w:numId w:val="32"/>
        </w:numPr>
        <w:spacing w:after="0"/>
        <w:rPr>
          <w:sz w:val="24"/>
          <w:szCs w:val="24"/>
        </w:rPr>
      </w:pPr>
      <w:r w:rsidRPr="00314794">
        <w:rPr>
          <w:sz w:val="24"/>
          <w:szCs w:val="24"/>
        </w:rPr>
        <w:t xml:space="preserve">The </w:t>
      </w:r>
      <w:r w:rsidR="008D7D33" w:rsidRPr="00314794">
        <w:rPr>
          <w:sz w:val="24"/>
          <w:szCs w:val="24"/>
        </w:rPr>
        <w:t xml:space="preserve">IAMSLIC </w:t>
      </w:r>
      <w:r w:rsidR="00815DF3">
        <w:rPr>
          <w:sz w:val="24"/>
          <w:szCs w:val="24"/>
        </w:rPr>
        <w:t>President</w:t>
      </w:r>
      <w:r w:rsidR="008D7D33" w:rsidRPr="00314794">
        <w:rPr>
          <w:sz w:val="24"/>
          <w:szCs w:val="24"/>
        </w:rPr>
        <w:t xml:space="preserve"> issues a call for proposals once per year </w:t>
      </w:r>
      <w:r w:rsidRPr="00314794">
        <w:rPr>
          <w:sz w:val="24"/>
          <w:szCs w:val="24"/>
        </w:rPr>
        <w:t>for travel grants</w:t>
      </w:r>
      <w:r w:rsidR="00815DF3">
        <w:rPr>
          <w:sz w:val="24"/>
          <w:szCs w:val="24"/>
        </w:rPr>
        <w:t>. Typically the President, Senior President-Elect and Junior President-Elect determine who receives grants</w:t>
      </w:r>
      <w:r w:rsidRPr="00314794">
        <w:rPr>
          <w:sz w:val="24"/>
          <w:szCs w:val="24"/>
        </w:rPr>
        <w:t xml:space="preserve"> and how much</w:t>
      </w:r>
    </w:p>
    <w:p w14:paraId="0E213F02" w14:textId="77777777" w:rsidR="00327111" w:rsidRDefault="00327111" w:rsidP="00314794">
      <w:pPr>
        <w:pStyle w:val="ListParagraph"/>
        <w:numPr>
          <w:ilvl w:val="0"/>
          <w:numId w:val="32"/>
        </w:numPr>
        <w:spacing w:after="0"/>
        <w:rPr>
          <w:sz w:val="24"/>
          <w:szCs w:val="24"/>
        </w:rPr>
      </w:pPr>
      <w:r>
        <w:rPr>
          <w:sz w:val="24"/>
          <w:szCs w:val="24"/>
        </w:rPr>
        <w:t>The President also invites requests from Officers and the Proceedings Editor for travel support. The total amount awarded cannot exceed 25% of revenue derived from membership dues during that fiscal year</w:t>
      </w:r>
    </w:p>
    <w:p w14:paraId="2C7AE201" w14:textId="77777777" w:rsidR="00E07753" w:rsidRPr="00314794" w:rsidRDefault="00E07753" w:rsidP="00314794">
      <w:pPr>
        <w:pStyle w:val="ListParagraph"/>
        <w:numPr>
          <w:ilvl w:val="0"/>
          <w:numId w:val="32"/>
        </w:numPr>
        <w:spacing w:after="0"/>
        <w:rPr>
          <w:sz w:val="24"/>
          <w:szCs w:val="24"/>
        </w:rPr>
      </w:pPr>
      <w:r w:rsidRPr="00314794">
        <w:rPr>
          <w:sz w:val="24"/>
          <w:szCs w:val="24"/>
        </w:rPr>
        <w:t>The Treasurer is then notified of the decisions</w:t>
      </w:r>
    </w:p>
    <w:p w14:paraId="013D15A3" w14:textId="77777777" w:rsidR="00E07753" w:rsidRPr="00314794" w:rsidRDefault="00E07753" w:rsidP="00314794">
      <w:pPr>
        <w:pStyle w:val="ListParagraph"/>
        <w:numPr>
          <w:ilvl w:val="0"/>
          <w:numId w:val="32"/>
        </w:numPr>
        <w:spacing w:after="0"/>
        <w:rPr>
          <w:sz w:val="24"/>
          <w:szCs w:val="24"/>
        </w:rPr>
      </w:pPr>
      <w:r w:rsidRPr="00314794">
        <w:rPr>
          <w:sz w:val="24"/>
          <w:szCs w:val="24"/>
        </w:rPr>
        <w:t xml:space="preserve">Grant recipients are reimbursed using the IAMSLIC Reimbursement Form. Receipts must be attached. </w:t>
      </w:r>
    </w:p>
    <w:p w14:paraId="1F73B674" w14:textId="77777777" w:rsidR="007E5788" w:rsidRPr="006A79FD" w:rsidRDefault="007E5788" w:rsidP="007E5788">
      <w:pPr>
        <w:pStyle w:val="NormalWeb"/>
        <w:rPr>
          <w:rFonts w:asciiTheme="minorHAnsi" w:hAnsiTheme="minorHAnsi"/>
          <w:b/>
          <w:i/>
          <w:color w:val="000000"/>
        </w:rPr>
      </w:pPr>
      <w:r w:rsidRPr="006A79FD">
        <w:rPr>
          <w:rFonts w:asciiTheme="minorHAnsi" w:hAnsiTheme="minorHAnsi"/>
          <w:b/>
          <w:i/>
          <w:color w:val="000000"/>
        </w:rPr>
        <w:t xml:space="preserve">State </w:t>
      </w:r>
      <w:r w:rsidR="00314794">
        <w:rPr>
          <w:rFonts w:asciiTheme="minorHAnsi" w:hAnsiTheme="minorHAnsi"/>
          <w:b/>
          <w:i/>
          <w:color w:val="000000"/>
        </w:rPr>
        <w:t xml:space="preserve">and Federal </w:t>
      </w:r>
      <w:r w:rsidRPr="006A79FD">
        <w:rPr>
          <w:rFonts w:asciiTheme="minorHAnsi" w:hAnsiTheme="minorHAnsi"/>
          <w:b/>
          <w:i/>
          <w:color w:val="000000"/>
        </w:rPr>
        <w:t>Filings</w:t>
      </w:r>
    </w:p>
    <w:p w14:paraId="352B4860" w14:textId="77777777" w:rsidR="008D7D33" w:rsidRPr="00314794" w:rsidRDefault="00314794" w:rsidP="00D5165D">
      <w:pPr>
        <w:pStyle w:val="ListParagraph"/>
        <w:numPr>
          <w:ilvl w:val="0"/>
          <w:numId w:val="33"/>
        </w:numPr>
        <w:rPr>
          <w:sz w:val="24"/>
          <w:szCs w:val="24"/>
        </w:rPr>
      </w:pPr>
      <w:r w:rsidRPr="00314794">
        <w:rPr>
          <w:sz w:val="24"/>
          <w:szCs w:val="24"/>
        </w:rPr>
        <w:t xml:space="preserve">IAMSLIC is </w:t>
      </w:r>
      <w:r w:rsidR="008D7D33" w:rsidRPr="00314794">
        <w:rPr>
          <w:sz w:val="24"/>
          <w:szCs w:val="24"/>
        </w:rPr>
        <w:t>registered with the IRS, the Oregon Secretary of State and the Department of Justice.</w:t>
      </w:r>
      <w:r w:rsidR="00D5165D">
        <w:rPr>
          <w:sz w:val="24"/>
          <w:szCs w:val="24"/>
        </w:rPr>
        <w:t xml:space="preserve"> Registration must be renewed annually at </w:t>
      </w:r>
      <w:hyperlink r:id="rId7" w:history="1">
        <w:r w:rsidR="00D5165D" w:rsidRPr="002F24A7">
          <w:rPr>
            <w:rStyle w:val="Hyperlink"/>
            <w:sz w:val="24"/>
            <w:szCs w:val="24"/>
          </w:rPr>
          <w:t>http://egov.sos.state.or.us/br/pkg_br1_web_rnewl.login</w:t>
        </w:r>
      </w:hyperlink>
      <w:r w:rsidR="00D5165D">
        <w:rPr>
          <w:sz w:val="24"/>
          <w:szCs w:val="24"/>
        </w:rPr>
        <w:t xml:space="preserve">. </w:t>
      </w:r>
    </w:p>
    <w:p w14:paraId="58844DBF" w14:textId="77777777" w:rsidR="00B55620" w:rsidRPr="00B55620" w:rsidRDefault="008D7D33" w:rsidP="00B55620">
      <w:pPr>
        <w:pStyle w:val="ListParagraph"/>
        <w:numPr>
          <w:ilvl w:val="0"/>
          <w:numId w:val="33"/>
        </w:numPr>
        <w:rPr>
          <w:rStyle w:val="Hyperlink"/>
          <w:color w:val="auto"/>
          <w:u w:val="none"/>
        </w:rPr>
      </w:pPr>
      <w:r w:rsidRPr="00B55620">
        <w:rPr>
          <w:sz w:val="24"/>
          <w:szCs w:val="24"/>
        </w:rPr>
        <w:t xml:space="preserve">IAMSLIC was registered with the Oregon Secretary of State on November 5, 1979 (Registry number is 140555-11). See: </w:t>
      </w:r>
      <w:hyperlink r:id="rId8" w:history="1">
        <w:r w:rsidRPr="00B55620">
          <w:rPr>
            <w:rStyle w:val="Hyperlink"/>
            <w:sz w:val="24"/>
            <w:szCs w:val="24"/>
          </w:rPr>
          <w:t>http://egov.sos.state.or.us/br/pkg_web_name_srch_inq.show_detl?p_be_rsn=665789&amp;p_srce=BR_INQ&amp;p_print=TRUE</w:t>
        </w:r>
      </w:hyperlink>
    </w:p>
    <w:p w14:paraId="66A789CA" w14:textId="77777777" w:rsidR="00B55620" w:rsidRDefault="00B55620" w:rsidP="00B55620">
      <w:pPr>
        <w:pStyle w:val="ListParagraph"/>
        <w:numPr>
          <w:ilvl w:val="0"/>
          <w:numId w:val="33"/>
        </w:numPr>
        <w:rPr>
          <w:sz w:val="24"/>
          <w:szCs w:val="24"/>
        </w:rPr>
      </w:pPr>
      <w:r w:rsidRPr="00B55620">
        <w:rPr>
          <w:sz w:val="24"/>
          <w:szCs w:val="24"/>
        </w:rPr>
        <w:t>An annual CT-12 must be filed with the State of Oregon, due Feb. 15.</w:t>
      </w:r>
    </w:p>
    <w:p w14:paraId="1C9B198F" w14:textId="77777777" w:rsidR="00314794" w:rsidRDefault="00314794" w:rsidP="00314794">
      <w:pPr>
        <w:pStyle w:val="ListParagraph"/>
        <w:numPr>
          <w:ilvl w:val="0"/>
          <w:numId w:val="33"/>
        </w:numPr>
        <w:rPr>
          <w:sz w:val="24"/>
          <w:szCs w:val="24"/>
        </w:rPr>
      </w:pPr>
      <w:r w:rsidRPr="00314794">
        <w:rPr>
          <w:sz w:val="24"/>
          <w:szCs w:val="24"/>
        </w:rPr>
        <w:t xml:space="preserve">An annual </w:t>
      </w:r>
      <w:r w:rsidR="008D7D33" w:rsidRPr="00314794">
        <w:rPr>
          <w:sz w:val="24"/>
          <w:szCs w:val="24"/>
        </w:rPr>
        <w:t xml:space="preserve">990N </w:t>
      </w:r>
      <w:r w:rsidRPr="00314794">
        <w:rPr>
          <w:sz w:val="24"/>
          <w:szCs w:val="24"/>
        </w:rPr>
        <w:t xml:space="preserve">must be filed </w:t>
      </w:r>
      <w:r w:rsidR="008D7D33" w:rsidRPr="00314794">
        <w:rPr>
          <w:sz w:val="24"/>
          <w:szCs w:val="24"/>
        </w:rPr>
        <w:t>with the IRS.</w:t>
      </w:r>
    </w:p>
    <w:p w14:paraId="05305380" w14:textId="77777777" w:rsidR="00314794" w:rsidRPr="00F14FA2" w:rsidRDefault="008D7D33" w:rsidP="00F14FA2">
      <w:pPr>
        <w:pStyle w:val="ListParagraph"/>
        <w:numPr>
          <w:ilvl w:val="1"/>
          <w:numId w:val="33"/>
        </w:numPr>
        <w:rPr>
          <w:rStyle w:val="Hyperlink"/>
          <w:sz w:val="24"/>
          <w:szCs w:val="24"/>
        </w:rPr>
      </w:pPr>
      <w:r w:rsidRPr="00F14FA2">
        <w:rPr>
          <w:sz w:val="24"/>
          <w:szCs w:val="24"/>
        </w:rPr>
        <w:t xml:space="preserve">In order to file a tax e-Postcard (990N) with the IRS, total gross receipts must be $50,000 or less. </w:t>
      </w:r>
      <w:r w:rsidRPr="00F14FA2">
        <w:rPr>
          <w:sz w:val="24"/>
          <w:szCs w:val="24"/>
        </w:rPr>
        <w:br/>
      </w:r>
      <w:r w:rsidRPr="00F14FA2">
        <w:rPr>
          <w:rFonts w:eastAsia="Times New Roman" w:cs="Times New Roman"/>
          <w:sz w:val="24"/>
          <w:szCs w:val="24"/>
        </w:rPr>
        <w:t xml:space="preserve">“An organization's </w:t>
      </w:r>
      <w:hyperlink r:id="rId9" w:history="1">
        <w:r w:rsidRPr="00F14FA2">
          <w:rPr>
            <w:rStyle w:val="Hyperlink"/>
            <w:rFonts w:eastAsia="Times New Roman" w:cs="Times New Roman"/>
            <w:sz w:val="24"/>
            <w:szCs w:val="24"/>
          </w:rPr>
          <w:t>gross receipts</w:t>
        </w:r>
      </w:hyperlink>
      <w:r w:rsidRPr="00F14FA2">
        <w:rPr>
          <w:rFonts w:eastAsia="Times New Roman" w:cs="Times New Roman"/>
          <w:sz w:val="24"/>
          <w:szCs w:val="24"/>
        </w:rPr>
        <w:t xml:space="preserve"> are considered to be $50,000 or less if the organization: Is at least 3 years old and averaged $50,000 or less in gross receipts for the immediately preceding 3 tax years (including the year for which calculations are being made).”</w:t>
      </w:r>
      <w:r w:rsidRPr="00F14FA2">
        <w:rPr>
          <w:rFonts w:eastAsia="Times New Roman" w:cs="Times New Roman"/>
          <w:sz w:val="24"/>
          <w:szCs w:val="24"/>
        </w:rPr>
        <w:br/>
      </w:r>
      <w:hyperlink r:id="rId10" w:history="1">
        <w:r w:rsidRPr="00F14FA2">
          <w:rPr>
            <w:rStyle w:val="Hyperlink"/>
            <w:sz w:val="24"/>
            <w:szCs w:val="24"/>
          </w:rPr>
          <w:t>http://www.irs.gov/Charities-&amp;-Non-Profits/Annual-Electronic-Filing-Requirement-for-Small-Exempt-Organizations-Form-990-N-%28e-Postcard%29</w:t>
        </w:r>
      </w:hyperlink>
    </w:p>
    <w:p w14:paraId="2A001318" w14:textId="77777777" w:rsidR="00314794" w:rsidRPr="00F14FA2" w:rsidRDefault="008D7D33" w:rsidP="00F14FA2">
      <w:pPr>
        <w:pStyle w:val="ListParagraph"/>
        <w:numPr>
          <w:ilvl w:val="1"/>
          <w:numId w:val="33"/>
        </w:numPr>
        <w:rPr>
          <w:sz w:val="24"/>
          <w:szCs w:val="24"/>
        </w:rPr>
      </w:pPr>
      <w:r w:rsidRPr="00F14FA2">
        <w:rPr>
          <w:sz w:val="24"/>
          <w:szCs w:val="24"/>
        </w:rPr>
        <w:t>In 2010, the IRS rules changed to $50,000 in gross receipts for all accounts associated with the EIN (employer identification number/tax id).</w:t>
      </w:r>
    </w:p>
    <w:p w14:paraId="5FE93F08" w14:textId="77777777" w:rsidR="00314794" w:rsidRPr="00F14FA2" w:rsidRDefault="008D7D33" w:rsidP="00F14FA2">
      <w:pPr>
        <w:pStyle w:val="ListParagraph"/>
        <w:numPr>
          <w:ilvl w:val="1"/>
          <w:numId w:val="33"/>
        </w:numPr>
        <w:rPr>
          <w:sz w:val="24"/>
          <w:szCs w:val="24"/>
        </w:rPr>
      </w:pPr>
      <w:r w:rsidRPr="00F14FA2">
        <w:rPr>
          <w:sz w:val="24"/>
          <w:szCs w:val="24"/>
        </w:rPr>
        <w:t>The e-Postcard is due every year by the 15th day of the 5th month after the close of your tax year (</w:t>
      </w:r>
      <w:r w:rsidR="00355E03">
        <w:rPr>
          <w:sz w:val="24"/>
          <w:szCs w:val="24"/>
        </w:rPr>
        <w:t>February</w:t>
      </w:r>
      <w:r w:rsidR="00355E03" w:rsidRPr="00F14FA2">
        <w:rPr>
          <w:sz w:val="24"/>
          <w:szCs w:val="24"/>
        </w:rPr>
        <w:t xml:space="preserve"> </w:t>
      </w:r>
      <w:r w:rsidRPr="00F14FA2">
        <w:rPr>
          <w:sz w:val="24"/>
          <w:szCs w:val="24"/>
        </w:rPr>
        <w:t>15). If the due date falls on a Saturday, Sunday, or legal holiday, the due date is the next business day. You cannot file the e-Postcard until after your tax year ends.</w:t>
      </w:r>
    </w:p>
    <w:p w14:paraId="12240268" w14:textId="77777777" w:rsidR="008D7D33" w:rsidRPr="00F14FA2" w:rsidRDefault="008D7D33" w:rsidP="00F14FA2">
      <w:pPr>
        <w:pStyle w:val="ListParagraph"/>
        <w:numPr>
          <w:ilvl w:val="1"/>
          <w:numId w:val="33"/>
        </w:numPr>
        <w:rPr>
          <w:sz w:val="24"/>
          <w:szCs w:val="24"/>
        </w:rPr>
      </w:pPr>
      <w:r w:rsidRPr="00F14FA2">
        <w:rPr>
          <w:sz w:val="24"/>
          <w:szCs w:val="24"/>
        </w:rPr>
        <w:t>Completing the e-Postcard requires the eight items listed below:</w:t>
      </w:r>
    </w:p>
    <w:p w14:paraId="0A7D03DC" w14:textId="77777777" w:rsidR="008D7D33" w:rsidRPr="006A79FD" w:rsidRDefault="008D7D33" w:rsidP="00F14FA2">
      <w:pPr>
        <w:pStyle w:val="ListParagraph"/>
        <w:numPr>
          <w:ilvl w:val="2"/>
          <w:numId w:val="33"/>
        </w:numPr>
        <w:rPr>
          <w:sz w:val="24"/>
          <w:szCs w:val="24"/>
        </w:rPr>
      </w:pPr>
      <w:r w:rsidRPr="006A79FD">
        <w:rPr>
          <w:sz w:val="24"/>
          <w:szCs w:val="24"/>
        </w:rPr>
        <w:t>Employer identification number (EIN), also known as a Taxpayer Identification Number (TIN).  04-2795358</w:t>
      </w:r>
    </w:p>
    <w:p w14:paraId="7909CB9C" w14:textId="77777777" w:rsidR="008D7D33" w:rsidRPr="006A79FD" w:rsidRDefault="008D7D33" w:rsidP="00F14FA2">
      <w:pPr>
        <w:pStyle w:val="ListParagraph"/>
        <w:numPr>
          <w:ilvl w:val="2"/>
          <w:numId w:val="33"/>
        </w:numPr>
        <w:rPr>
          <w:sz w:val="24"/>
          <w:szCs w:val="24"/>
        </w:rPr>
      </w:pPr>
      <w:r w:rsidRPr="006A79FD">
        <w:rPr>
          <w:sz w:val="24"/>
          <w:szCs w:val="24"/>
        </w:rPr>
        <w:t>Tax year</w:t>
      </w:r>
    </w:p>
    <w:p w14:paraId="07D524D3" w14:textId="77777777" w:rsidR="008D7D33" w:rsidRPr="006A79FD" w:rsidRDefault="008D7D33" w:rsidP="00F14FA2">
      <w:pPr>
        <w:pStyle w:val="ListParagraph"/>
        <w:numPr>
          <w:ilvl w:val="2"/>
          <w:numId w:val="33"/>
        </w:numPr>
        <w:rPr>
          <w:sz w:val="24"/>
          <w:szCs w:val="24"/>
        </w:rPr>
      </w:pPr>
      <w:r w:rsidRPr="006A79FD">
        <w:rPr>
          <w:sz w:val="24"/>
          <w:szCs w:val="24"/>
        </w:rPr>
        <w:t>Legal name and mailing address (use current treasurer’s mailing address)</w:t>
      </w:r>
    </w:p>
    <w:p w14:paraId="16F25D97" w14:textId="77777777" w:rsidR="008D7D33" w:rsidRPr="006A79FD" w:rsidRDefault="008D7D33" w:rsidP="00F14FA2">
      <w:pPr>
        <w:pStyle w:val="ListParagraph"/>
        <w:numPr>
          <w:ilvl w:val="2"/>
          <w:numId w:val="33"/>
        </w:numPr>
        <w:rPr>
          <w:sz w:val="24"/>
          <w:szCs w:val="24"/>
        </w:rPr>
      </w:pPr>
      <w:r w:rsidRPr="006A79FD">
        <w:rPr>
          <w:sz w:val="24"/>
          <w:szCs w:val="24"/>
        </w:rPr>
        <w:t>Any other names the organization uses (include regional group names)</w:t>
      </w:r>
    </w:p>
    <w:p w14:paraId="6AFD2067" w14:textId="77777777" w:rsidR="008D7D33" w:rsidRPr="006A79FD" w:rsidRDefault="008D7D33" w:rsidP="00F14FA2">
      <w:pPr>
        <w:pStyle w:val="ListParagraph"/>
        <w:numPr>
          <w:ilvl w:val="2"/>
          <w:numId w:val="33"/>
        </w:numPr>
        <w:rPr>
          <w:sz w:val="24"/>
          <w:szCs w:val="24"/>
        </w:rPr>
      </w:pPr>
      <w:r w:rsidRPr="006A79FD">
        <w:rPr>
          <w:sz w:val="24"/>
          <w:szCs w:val="24"/>
        </w:rPr>
        <w:t xml:space="preserve">Name and address of a principal officer (President, </w:t>
      </w:r>
      <w:r w:rsidR="00147BAD">
        <w:rPr>
          <w:sz w:val="24"/>
          <w:szCs w:val="24"/>
        </w:rPr>
        <w:t>S</w:t>
      </w:r>
      <w:r w:rsidRPr="006A79FD">
        <w:rPr>
          <w:sz w:val="24"/>
          <w:szCs w:val="24"/>
        </w:rPr>
        <w:t xml:space="preserve">ecretary, </w:t>
      </w:r>
      <w:r w:rsidR="00147BAD">
        <w:rPr>
          <w:sz w:val="24"/>
          <w:szCs w:val="24"/>
        </w:rPr>
        <w:t>T</w:t>
      </w:r>
      <w:r w:rsidRPr="006A79FD">
        <w:rPr>
          <w:sz w:val="24"/>
          <w:szCs w:val="24"/>
        </w:rPr>
        <w:t>reasurer)</w:t>
      </w:r>
    </w:p>
    <w:p w14:paraId="0BD0F240" w14:textId="77777777" w:rsidR="008D7D33" w:rsidRPr="006A79FD" w:rsidRDefault="008D7D33" w:rsidP="00F14FA2">
      <w:pPr>
        <w:pStyle w:val="ListParagraph"/>
        <w:numPr>
          <w:ilvl w:val="2"/>
          <w:numId w:val="33"/>
        </w:numPr>
        <w:rPr>
          <w:sz w:val="24"/>
          <w:szCs w:val="24"/>
        </w:rPr>
      </w:pPr>
      <w:r w:rsidRPr="006A79FD">
        <w:rPr>
          <w:sz w:val="24"/>
          <w:szCs w:val="24"/>
        </w:rPr>
        <w:t>Web site address if the organization has one (www.iamslic.org)</w:t>
      </w:r>
    </w:p>
    <w:p w14:paraId="69EA4B34" w14:textId="77777777" w:rsidR="008D7D33" w:rsidRPr="006A79FD" w:rsidRDefault="008D7D33" w:rsidP="00F14FA2">
      <w:pPr>
        <w:pStyle w:val="ListParagraph"/>
        <w:numPr>
          <w:ilvl w:val="2"/>
          <w:numId w:val="33"/>
        </w:numPr>
        <w:rPr>
          <w:sz w:val="24"/>
          <w:szCs w:val="24"/>
        </w:rPr>
      </w:pPr>
      <w:r w:rsidRPr="006A79FD">
        <w:rPr>
          <w:sz w:val="24"/>
          <w:szCs w:val="24"/>
        </w:rPr>
        <w:t>Confirmation that the organization’s annual gross receipts are $50,000 or less for tax years ending on or after December 31</w:t>
      </w:r>
      <w:r w:rsidR="00355E03">
        <w:rPr>
          <w:sz w:val="24"/>
          <w:szCs w:val="24"/>
        </w:rPr>
        <w:t xml:space="preserve">. </w:t>
      </w:r>
      <w:r w:rsidRPr="006A79FD">
        <w:rPr>
          <w:sz w:val="24"/>
          <w:szCs w:val="24"/>
        </w:rPr>
        <w:t xml:space="preserve">. </w:t>
      </w:r>
    </w:p>
    <w:p w14:paraId="5C53EE71" w14:textId="77777777" w:rsidR="00314794" w:rsidRDefault="008D7D33" w:rsidP="00F14FA2">
      <w:pPr>
        <w:pStyle w:val="ListParagraph"/>
        <w:numPr>
          <w:ilvl w:val="2"/>
          <w:numId w:val="33"/>
        </w:numPr>
        <w:rPr>
          <w:sz w:val="24"/>
          <w:szCs w:val="24"/>
        </w:rPr>
      </w:pPr>
      <w:r w:rsidRPr="006A79FD">
        <w:rPr>
          <w:sz w:val="24"/>
          <w:szCs w:val="24"/>
        </w:rPr>
        <w:t>If applicable, a statement that the organization has terminated or is terminating (going out of business)</w:t>
      </w:r>
    </w:p>
    <w:p w14:paraId="1AEF5C1D" w14:textId="77777777" w:rsidR="00F14FA2" w:rsidRPr="00F14FA2" w:rsidRDefault="008D7D33" w:rsidP="00F14FA2">
      <w:pPr>
        <w:pStyle w:val="ListParagraph"/>
        <w:numPr>
          <w:ilvl w:val="1"/>
          <w:numId w:val="33"/>
        </w:numPr>
        <w:rPr>
          <w:sz w:val="24"/>
          <w:szCs w:val="24"/>
        </w:rPr>
      </w:pPr>
      <w:r w:rsidRPr="00F14FA2">
        <w:rPr>
          <w:sz w:val="24"/>
          <w:szCs w:val="24"/>
        </w:rPr>
        <w:t>Gross Receipts are the total amounts the organization received from all sources during its annual tax year (including short years) without subtracting any costs or expenses.</w:t>
      </w:r>
    </w:p>
    <w:p w14:paraId="6BAD900F" w14:textId="77777777" w:rsidR="00537DD4" w:rsidRDefault="008D7D33" w:rsidP="00537DD4">
      <w:pPr>
        <w:pStyle w:val="ListParagraph"/>
        <w:numPr>
          <w:ilvl w:val="1"/>
          <w:numId w:val="33"/>
        </w:numPr>
        <w:rPr>
          <w:sz w:val="24"/>
          <w:szCs w:val="24"/>
        </w:rPr>
      </w:pPr>
      <w:r w:rsidRPr="00F14FA2">
        <w:rPr>
          <w:sz w:val="24"/>
          <w:szCs w:val="24"/>
        </w:rPr>
        <w:t>Gross receipts when acting as an agent. If a local chapter of a section collects money for a parent group and sends those funds on without asserting any right to use the funds or otherwise deriving any benefit from them, the local chapters does not include those monies in its gross receipts. The parent group reports them instead.</w:t>
      </w:r>
    </w:p>
    <w:p w14:paraId="7C7C933F" w14:textId="77777777" w:rsidR="008D7D33" w:rsidRPr="00537DD4" w:rsidRDefault="008D7D33" w:rsidP="00537DD4">
      <w:pPr>
        <w:pStyle w:val="ListParagraph"/>
        <w:numPr>
          <w:ilvl w:val="1"/>
          <w:numId w:val="33"/>
        </w:numPr>
        <w:rPr>
          <w:sz w:val="24"/>
          <w:szCs w:val="24"/>
        </w:rPr>
      </w:pPr>
      <w:proofErr w:type="spellStart"/>
      <w:r w:rsidRPr="00537DD4">
        <w:rPr>
          <w:sz w:val="24"/>
          <w:szCs w:val="24"/>
        </w:rPr>
        <w:t>RegOnline</w:t>
      </w:r>
      <w:proofErr w:type="spellEnd"/>
      <w:r w:rsidRPr="00537DD4">
        <w:rPr>
          <w:sz w:val="24"/>
          <w:szCs w:val="24"/>
        </w:rPr>
        <w:t xml:space="preserve"> fees and payments are all income and need to be reported as income to the IRS &amp; Oregon; however, they will be offset by expenses as “administrative costs.”</w:t>
      </w:r>
    </w:p>
    <w:p w14:paraId="5229C535" w14:textId="77777777" w:rsidR="00314794" w:rsidRPr="003638EE" w:rsidRDefault="00314794" w:rsidP="00314794">
      <w:pPr>
        <w:pStyle w:val="NormalWeb"/>
        <w:rPr>
          <w:rFonts w:asciiTheme="minorHAnsi" w:hAnsiTheme="minorHAnsi"/>
          <w:b/>
          <w:color w:val="000000"/>
        </w:rPr>
      </w:pPr>
      <w:proofErr w:type="spellStart"/>
      <w:r w:rsidRPr="003638EE">
        <w:rPr>
          <w:rFonts w:asciiTheme="minorHAnsi" w:hAnsiTheme="minorHAnsi"/>
          <w:b/>
          <w:color w:val="000000"/>
        </w:rPr>
        <w:t>Guin</w:t>
      </w:r>
      <w:proofErr w:type="spellEnd"/>
      <w:r w:rsidRPr="003638EE">
        <w:rPr>
          <w:rFonts w:asciiTheme="minorHAnsi" w:hAnsiTheme="minorHAnsi"/>
          <w:b/>
          <w:color w:val="000000"/>
        </w:rPr>
        <w:t xml:space="preserve"> Funds</w:t>
      </w:r>
    </w:p>
    <w:p w14:paraId="277F5CB2" w14:textId="77777777" w:rsidR="00314794" w:rsidRPr="006A79FD" w:rsidRDefault="003638EE" w:rsidP="00314794">
      <w:pPr>
        <w:pStyle w:val="NormalWeb"/>
        <w:rPr>
          <w:rFonts w:asciiTheme="minorHAnsi" w:hAnsiTheme="minorHAnsi"/>
          <w:color w:val="000000"/>
        </w:rPr>
      </w:pPr>
      <w:proofErr w:type="spellStart"/>
      <w:r>
        <w:rPr>
          <w:rFonts w:asciiTheme="minorHAnsi" w:hAnsiTheme="minorHAnsi"/>
          <w:color w:val="000000"/>
        </w:rPr>
        <w:t>Guin</w:t>
      </w:r>
      <w:proofErr w:type="spellEnd"/>
      <w:r>
        <w:rPr>
          <w:rFonts w:asciiTheme="minorHAnsi" w:hAnsiTheme="minorHAnsi"/>
          <w:color w:val="000000"/>
        </w:rPr>
        <w:t xml:space="preserve"> Funds are integrated into the Main Banking Account but are encumbered separately as they support travel grants. </w:t>
      </w:r>
      <w:proofErr w:type="spellStart"/>
      <w:r>
        <w:rPr>
          <w:rFonts w:asciiTheme="minorHAnsi" w:hAnsiTheme="minorHAnsi"/>
          <w:color w:val="000000"/>
        </w:rPr>
        <w:t>Guin</w:t>
      </w:r>
      <w:proofErr w:type="spellEnd"/>
      <w:r>
        <w:rPr>
          <w:rFonts w:asciiTheme="minorHAnsi" w:hAnsiTheme="minorHAnsi"/>
          <w:color w:val="000000"/>
        </w:rPr>
        <w:t xml:space="preserve"> Funds should be applied first when expensing for travel grants.</w:t>
      </w:r>
    </w:p>
    <w:p w14:paraId="5C13D55B" w14:textId="77777777" w:rsidR="00314794" w:rsidRDefault="00314794" w:rsidP="00314794">
      <w:pPr>
        <w:pStyle w:val="NormalWeb"/>
        <w:rPr>
          <w:rFonts w:asciiTheme="minorHAnsi" w:hAnsiTheme="minorHAnsi"/>
          <w:b/>
          <w:color w:val="000000"/>
        </w:rPr>
      </w:pPr>
      <w:r w:rsidRPr="003638EE">
        <w:rPr>
          <w:rFonts w:asciiTheme="minorHAnsi" w:hAnsiTheme="minorHAnsi"/>
          <w:b/>
          <w:color w:val="000000"/>
        </w:rPr>
        <w:t>Aquatic Commons Funds</w:t>
      </w:r>
    </w:p>
    <w:p w14:paraId="2162E13F" w14:textId="1618A904" w:rsidR="00CC1A37" w:rsidRPr="006A79FD" w:rsidRDefault="003638EE" w:rsidP="00AF4EF7">
      <w:pPr>
        <w:pStyle w:val="NormalWeb"/>
      </w:pPr>
      <w:r>
        <w:rPr>
          <w:rFonts w:asciiTheme="minorHAnsi" w:hAnsiTheme="minorHAnsi"/>
          <w:color w:val="000000"/>
        </w:rPr>
        <w:t>Aquatic Common Funds are integrated into the Main Banking Account but are encumbered separately as they support Aquatic Common activities. These activities will be decided by the Aquatic Commons Board.</w:t>
      </w:r>
      <w:bookmarkStart w:id="0" w:name="_GoBack"/>
      <w:bookmarkEnd w:id="0"/>
    </w:p>
    <w:sectPr w:rsidR="00CC1A37" w:rsidRPr="006A79F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7EE79" w15:done="0"/>
  <w15:commentEx w15:paraId="533487D3" w15:done="0"/>
  <w15:commentEx w15:paraId="214B8AC3" w15:done="0"/>
  <w15:commentEx w15:paraId="6A171DE6" w15:done="0"/>
  <w15:commentEx w15:paraId="13E2F033" w15:done="0"/>
  <w15:commentEx w15:paraId="0425A0BC" w15:done="0"/>
  <w15:commentEx w15:paraId="3293F55C" w15:done="0"/>
  <w15:commentEx w15:paraId="698AB609" w15:done="0"/>
  <w15:commentEx w15:paraId="6D6CEB4D" w15:done="0"/>
  <w15:commentEx w15:paraId="71389293" w15:done="0"/>
  <w15:commentEx w15:paraId="225C0E89" w15:done="0"/>
  <w15:commentEx w15:paraId="40A65E6F" w15:done="0"/>
  <w15:commentEx w15:paraId="498198CC" w15:done="0"/>
  <w15:commentEx w15:paraId="0BCFA719" w15:done="0"/>
  <w15:commentEx w15:paraId="384A2D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2B"/>
    <w:multiLevelType w:val="hybridMultilevel"/>
    <w:tmpl w:val="6276C3E2"/>
    <w:lvl w:ilvl="0" w:tplc="0409000F">
      <w:start w:val="1"/>
      <w:numFmt w:val="decimal"/>
      <w:lvlText w:val="%1."/>
      <w:lvlJc w:val="left"/>
      <w:pPr>
        <w:ind w:left="360" w:hanging="360"/>
      </w:pPr>
    </w:lvl>
    <w:lvl w:ilvl="1" w:tplc="4D8414F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200B1"/>
    <w:multiLevelType w:val="hybridMultilevel"/>
    <w:tmpl w:val="4BE4D97E"/>
    <w:lvl w:ilvl="0" w:tplc="04090001">
      <w:start w:val="1"/>
      <w:numFmt w:val="bullet"/>
      <w:lvlText w:val=""/>
      <w:lvlJc w:val="left"/>
      <w:pPr>
        <w:ind w:left="1080" w:hanging="360"/>
      </w:pPr>
      <w:rPr>
        <w:rFonts w:ascii="Symbol" w:hAnsi="Symbol" w:hint="default"/>
      </w:rPr>
    </w:lvl>
    <w:lvl w:ilvl="1" w:tplc="4D8414F6">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F35DA2"/>
    <w:multiLevelType w:val="hybridMultilevel"/>
    <w:tmpl w:val="90465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ED13D9"/>
    <w:multiLevelType w:val="hybridMultilevel"/>
    <w:tmpl w:val="4620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83809"/>
    <w:multiLevelType w:val="hybridMultilevel"/>
    <w:tmpl w:val="D718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12E8C"/>
    <w:multiLevelType w:val="hybridMultilevel"/>
    <w:tmpl w:val="A0E6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55955"/>
    <w:multiLevelType w:val="hybridMultilevel"/>
    <w:tmpl w:val="D906669C"/>
    <w:lvl w:ilvl="0" w:tplc="04090001">
      <w:start w:val="1"/>
      <w:numFmt w:val="bullet"/>
      <w:lvlText w:val=""/>
      <w:lvlJc w:val="left"/>
      <w:pPr>
        <w:ind w:left="1080" w:hanging="360"/>
      </w:pPr>
      <w:rPr>
        <w:rFonts w:ascii="Symbol" w:hAnsi="Symbol" w:hint="default"/>
      </w:rPr>
    </w:lvl>
    <w:lvl w:ilvl="1" w:tplc="4D8414F6">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D200E1"/>
    <w:multiLevelType w:val="hybridMultilevel"/>
    <w:tmpl w:val="ECA28AB4"/>
    <w:lvl w:ilvl="0" w:tplc="04090001">
      <w:start w:val="1"/>
      <w:numFmt w:val="bullet"/>
      <w:lvlText w:val=""/>
      <w:lvlJc w:val="left"/>
      <w:pPr>
        <w:ind w:left="1080" w:hanging="360"/>
      </w:pPr>
      <w:rPr>
        <w:rFonts w:ascii="Symbol" w:hAnsi="Symbol" w:hint="default"/>
      </w:rPr>
    </w:lvl>
    <w:lvl w:ilvl="1" w:tplc="4D8414F6">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145D41"/>
    <w:multiLevelType w:val="hybridMultilevel"/>
    <w:tmpl w:val="939EA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C835F1"/>
    <w:multiLevelType w:val="hybridMultilevel"/>
    <w:tmpl w:val="3C3C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478CD"/>
    <w:multiLevelType w:val="hybridMultilevel"/>
    <w:tmpl w:val="469C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D0390"/>
    <w:multiLevelType w:val="hybridMultilevel"/>
    <w:tmpl w:val="9F00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87B1E"/>
    <w:multiLevelType w:val="hybridMultilevel"/>
    <w:tmpl w:val="7EA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0481A"/>
    <w:multiLevelType w:val="hybridMultilevel"/>
    <w:tmpl w:val="B7EA16D4"/>
    <w:lvl w:ilvl="0" w:tplc="04090001">
      <w:start w:val="1"/>
      <w:numFmt w:val="bullet"/>
      <w:lvlText w:val=""/>
      <w:lvlJc w:val="left"/>
      <w:pPr>
        <w:ind w:left="1080" w:hanging="360"/>
      </w:pPr>
      <w:rPr>
        <w:rFonts w:ascii="Symbol" w:hAnsi="Symbol" w:hint="default"/>
      </w:rPr>
    </w:lvl>
    <w:lvl w:ilvl="1" w:tplc="4D8414F6">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665B78"/>
    <w:multiLevelType w:val="hybridMultilevel"/>
    <w:tmpl w:val="A64E7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F7F68"/>
    <w:multiLevelType w:val="hybridMultilevel"/>
    <w:tmpl w:val="11C28B5A"/>
    <w:lvl w:ilvl="0" w:tplc="04090001">
      <w:start w:val="1"/>
      <w:numFmt w:val="bullet"/>
      <w:lvlText w:val=""/>
      <w:lvlJc w:val="left"/>
      <w:pPr>
        <w:ind w:left="1080" w:hanging="360"/>
      </w:pPr>
      <w:rPr>
        <w:rFonts w:ascii="Symbol" w:hAnsi="Symbol" w:hint="default"/>
      </w:rPr>
    </w:lvl>
    <w:lvl w:ilvl="1" w:tplc="4D8414F6">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3D744F"/>
    <w:multiLevelType w:val="hybridMultilevel"/>
    <w:tmpl w:val="71D4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B571E4"/>
    <w:multiLevelType w:val="hybridMultilevel"/>
    <w:tmpl w:val="33CE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450F2"/>
    <w:multiLevelType w:val="hybridMultilevel"/>
    <w:tmpl w:val="427AA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200B59"/>
    <w:multiLevelType w:val="hybridMultilevel"/>
    <w:tmpl w:val="02DE6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FA003A"/>
    <w:multiLevelType w:val="hybridMultilevel"/>
    <w:tmpl w:val="BC0476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7C1435"/>
    <w:multiLevelType w:val="hybridMultilevel"/>
    <w:tmpl w:val="7082C8F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E12CAC"/>
    <w:multiLevelType w:val="hybridMultilevel"/>
    <w:tmpl w:val="1FA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B75D3"/>
    <w:multiLevelType w:val="hybridMultilevel"/>
    <w:tmpl w:val="CEA4086E"/>
    <w:lvl w:ilvl="0" w:tplc="04090001">
      <w:start w:val="1"/>
      <w:numFmt w:val="bullet"/>
      <w:lvlText w:val=""/>
      <w:lvlJc w:val="left"/>
      <w:pPr>
        <w:ind w:left="720" w:hanging="360"/>
      </w:pPr>
      <w:rPr>
        <w:rFonts w:ascii="Symbol" w:hAnsi="Symbol" w:hint="default"/>
      </w:rPr>
    </w:lvl>
    <w:lvl w:ilvl="1" w:tplc="4D8414F6">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4C0A61"/>
    <w:multiLevelType w:val="hybridMultilevel"/>
    <w:tmpl w:val="BEFC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306CD"/>
    <w:multiLevelType w:val="hybridMultilevel"/>
    <w:tmpl w:val="0C14B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C958A2"/>
    <w:multiLevelType w:val="hybridMultilevel"/>
    <w:tmpl w:val="BC0476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EC741C"/>
    <w:multiLevelType w:val="hybridMultilevel"/>
    <w:tmpl w:val="A4F6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22A08"/>
    <w:multiLevelType w:val="hybridMultilevel"/>
    <w:tmpl w:val="430EF6E4"/>
    <w:lvl w:ilvl="0" w:tplc="04090001">
      <w:start w:val="1"/>
      <w:numFmt w:val="bullet"/>
      <w:lvlText w:val=""/>
      <w:lvlJc w:val="left"/>
      <w:pPr>
        <w:ind w:left="1080" w:hanging="360"/>
      </w:pPr>
      <w:rPr>
        <w:rFonts w:ascii="Symbol" w:hAnsi="Symbol" w:hint="default"/>
      </w:rPr>
    </w:lvl>
    <w:lvl w:ilvl="1" w:tplc="4D8414F6">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BD6344"/>
    <w:multiLevelType w:val="hybridMultilevel"/>
    <w:tmpl w:val="BE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084AF2"/>
    <w:multiLevelType w:val="hybridMultilevel"/>
    <w:tmpl w:val="B73AB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0632C8"/>
    <w:multiLevelType w:val="hybridMultilevel"/>
    <w:tmpl w:val="AA2A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83B13"/>
    <w:multiLevelType w:val="hybridMultilevel"/>
    <w:tmpl w:val="166C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A971F0"/>
    <w:multiLevelType w:val="hybridMultilevel"/>
    <w:tmpl w:val="BC0476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2"/>
  </w:num>
  <w:num w:numId="3">
    <w:abstractNumId w:val="0"/>
  </w:num>
  <w:num w:numId="4">
    <w:abstractNumId w:val="19"/>
  </w:num>
  <w:num w:numId="5">
    <w:abstractNumId w:val="23"/>
  </w:num>
  <w:num w:numId="6">
    <w:abstractNumId w:val="6"/>
  </w:num>
  <w:num w:numId="7">
    <w:abstractNumId w:val="13"/>
  </w:num>
  <w:num w:numId="8">
    <w:abstractNumId w:val="1"/>
  </w:num>
  <w:num w:numId="9">
    <w:abstractNumId w:val="7"/>
  </w:num>
  <w:num w:numId="10">
    <w:abstractNumId w:val="15"/>
  </w:num>
  <w:num w:numId="11">
    <w:abstractNumId w:val="20"/>
  </w:num>
  <w:num w:numId="12">
    <w:abstractNumId w:val="33"/>
  </w:num>
  <w:num w:numId="13">
    <w:abstractNumId w:val="26"/>
  </w:num>
  <w:num w:numId="14">
    <w:abstractNumId w:val="2"/>
  </w:num>
  <w:num w:numId="15">
    <w:abstractNumId w:val="18"/>
  </w:num>
  <w:num w:numId="16">
    <w:abstractNumId w:val="8"/>
  </w:num>
  <w:num w:numId="17">
    <w:abstractNumId w:val="30"/>
  </w:num>
  <w:num w:numId="18">
    <w:abstractNumId w:val="21"/>
  </w:num>
  <w:num w:numId="19">
    <w:abstractNumId w:val="14"/>
  </w:num>
  <w:num w:numId="20">
    <w:abstractNumId w:val="25"/>
  </w:num>
  <w:num w:numId="21">
    <w:abstractNumId w:val="28"/>
  </w:num>
  <w:num w:numId="22">
    <w:abstractNumId w:val="4"/>
  </w:num>
  <w:num w:numId="23">
    <w:abstractNumId w:val="31"/>
  </w:num>
  <w:num w:numId="24">
    <w:abstractNumId w:val="16"/>
  </w:num>
  <w:num w:numId="25">
    <w:abstractNumId w:val="3"/>
  </w:num>
  <w:num w:numId="26">
    <w:abstractNumId w:val="10"/>
  </w:num>
  <w:num w:numId="27">
    <w:abstractNumId w:val="12"/>
  </w:num>
  <w:num w:numId="28">
    <w:abstractNumId w:val="9"/>
  </w:num>
  <w:num w:numId="29">
    <w:abstractNumId w:val="32"/>
  </w:num>
  <w:num w:numId="30">
    <w:abstractNumId w:val="24"/>
  </w:num>
  <w:num w:numId="31">
    <w:abstractNumId w:val="11"/>
  </w:num>
  <w:num w:numId="32">
    <w:abstractNumId w:val="17"/>
  </w:num>
  <w:num w:numId="33">
    <w:abstractNumId w:val="27"/>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baca">
    <w15:presenceInfo w15:providerId="None" w15:userId="daveb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67"/>
    <w:rsid w:val="0002299F"/>
    <w:rsid w:val="00032E3C"/>
    <w:rsid w:val="000465A2"/>
    <w:rsid w:val="00046F26"/>
    <w:rsid w:val="00074E77"/>
    <w:rsid w:val="0009253F"/>
    <w:rsid w:val="000E4721"/>
    <w:rsid w:val="00147BAD"/>
    <w:rsid w:val="0015014E"/>
    <w:rsid w:val="0016410B"/>
    <w:rsid w:val="001853FD"/>
    <w:rsid w:val="00187D7F"/>
    <w:rsid w:val="00194165"/>
    <w:rsid w:val="001A20AB"/>
    <w:rsid w:val="001F7FDE"/>
    <w:rsid w:val="002614A5"/>
    <w:rsid w:val="002B0F7C"/>
    <w:rsid w:val="002E4F4B"/>
    <w:rsid w:val="002F7F99"/>
    <w:rsid w:val="00314794"/>
    <w:rsid w:val="00327111"/>
    <w:rsid w:val="00355E03"/>
    <w:rsid w:val="003638EE"/>
    <w:rsid w:val="00405104"/>
    <w:rsid w:val="004240B0"/>
    <w:rsid w:val="00435A67"/>
    <w:rsid w:val="00456677"/>
    <w:rsid w:val="00470FBD"/>
    <w:rsid w:val="004B069C"/>
    <w:rsid w:val="004F6526"/>
    <w:rsid w:val="005002EE"/>
    <w:rsid w:val="00537DD4"/>
    <w:rsid w:val="0059458C"/>
    <w:rsid w:val="005C3411"/>
    <w:rsid w:val="005C3678"/>
    <w:rsid w:val="005E0B55"/>
    <w:rsid w:val="00602BE2"/>
    <w:rsid w:val="006116BB"/>
    <w:rsid w:val="00623E58"/>
    <w:rsid w:val="00626382"/>
    <w:rsid w:val="006765A8"/>
    <w:rsid w:val="006803E3"/>
    <w:rsid w:val="0068712E"/>
    <w:rsid w:val="00691574"/>
    <w:rsid w:val="006A79FD"/>
    <w:rsid w:val="006B2F0C"/>
    <w:rsid w:val="006B3392"/>
    <w:rsid w:val="006C66DC"/>
    <w:rsid w:val="007062E2"/>
    <w:rsid w:val="007349FD"/>
    <w:rsid w:val="00756EBF"/>
    <w:rsid w:val="007670D2"/>
    <w:rsid w:val="00797536"/>
    <w:rsid w:val="007D2FDE"/>
    <w:rsid w:val="007D6279"/>
    <w:rsid w:val="007E5788"/>
    <w:rsid w:val="00815DF3"/>
    <w:rsid w:val="00830DE2"/>
    <w:rsid w:val="008678BB"/>
    <w:rsid w:val="00873478"/>
    <w:rsid w:val="008750DE"/>
    <w:rsid w:val="008A71B2"/>
    <w:rsid w:val="008D7D33"/>
    <w:rsid w:val="008E2AA1"/>
    <w:rsid w:val="008E7813"/>
    <w:rsid w:val="00921610"/>
    <w:rsid w:val="00926FC2"/>
    <w:rsid w:val="00964C2C"/>
    <w:rsid w:val="009A2542"/>
    <w:rsid w:val="009D2844"/>
    <w:rsid w:val="00A73921"/>
    <w:rsid w:val="00A92127"/>
    <w:rsid w:val="00AD3A99"/>
    <w:rsid w:val="00AD7307"/>
    <w:rsid w:val="00AF0BF9"/>
    <w:rsid w:val="00AF4EF7"/>
    <w:rsid w:val="00B0244A"/>
    <w:rsid w:val="00B02BA7"/>
    <w:rsid w:val="00B3152D"/>
    <w:rsid w:val="00B342F6"/>
    <w:rsid w:val="00B422D4"/>
    <w:rsid w:val="00B4571D"/>
    <w:rsid w:val="00B55620"/>
    <w:rsid w:val="00B564EE"/>
    <w:rsid w:val="00B65050"/>
    <w:rsid w:val="00BC3B86"/>
    <w:rsid w:val="00BF1376"/>
    <w:rsid w:val="00C02346"/>
    <w:rsid w:val="00C06E55"/>
    <w:rsid w:val="00C613D2"/>
    <w:rsid w:val="00CC1A37"/>
    <w:rsid w:val="00D12D6B"/>
    <w:rsid w:val="00D35666"/>
    <w:rsid w:val="00D47964"/>
    <w:rsid w:val="00D5165D"/>
    <w:rsid w:val="00D67D34"/>
    <w:rsid w:val="00D75A49"/>
    <w:rsid w:val="00D9644E"/>
    <w:rsid w:val="00DA4361"/>
    <w:rsid w:val="00E0320A"/>
    <w:rsid w:val="00E07753"/>
    <w:rsid w:val="00E11CBF"/>
    <w:rsid w:val="00E57386"/>
    <w:rsid w:val="00E720CD"/>
    <w:rsid w:val="00E75573"/>
    <w:rsid w:val="00E91F26"/>
    <w:rsid w:val="00E955E0"/>
    <w:rsid w:val="00E9676A"/>
    <w:rsid w:val="00EA414E"/>
    <w:rsid w:val="00EC16E1"/>
    <w:rsid w:val="00EF2A29"/>
    <w:rsid w:val="00F14FA2"/>
    <w:rsid w:val="00F423C5"/>
    <w:rsid w:val="00F64CD5"/>
    <w:rsid w:val="00F6535A"/>
    <w:rsid w:val="00F9251D"/>
    <w:rsid w:val="00FA168B"/>
    <w:rsid w:val="00FA5164"/>
    <w:rsid w:val="00FB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F99"/>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6E1"/>
    <w:pPr>
      <w:ind w:left="720"/>
      <w:contextualSpacing/>
    </w:pPr>
  </w:style>
  <w:style w:type="character" w:styleId="Hyperlink">
    <w:name w:val="Hyperlink"/>
    <w:basedOn w:val="DefaultParagraphFont"/>
    <w:uiPriority w:val="99"/>
    <w:unhideWhenUsed/>
    <w:rsid w:val="008678BB"/>
    <w:rPr>
      <w:color w:val="0000FF" w:themeColor="hyperlink"/>
      <w:u w:val="single"/>
    </w:rPr>
  </w:style>
  <w:style w:type="character" w:styleId="FollowedHyperlink">
    <w:name w:val="FollowedHyperlink"/>
    <w:basedOn w:val="DefaultParagraphFont"/>
    <w:uiPriority w:val="99"/>
    <w:semiHidden/>
    <w:unhideWhenUsed/>
    <w:rsid w:val="00964C2C"/>
    <w:rPr>
      <w:color w:val="800080" w:themeColor="followedHyperlink"/>
      <w:u w:val="single"/>
    </w:rPr>
  </w:style>
  <w:style w:type="character" w:styleId="CommentReference">
    <w:name w:val="annotation reference"/>
    <w:basedOn w:val="DefaultParagraphFont"/>
    <w:uiPriority w:val="99"/>
    <w:semiHidden/>
    <w:unhideWhenUsed/>
    <w:rsid w:val="00B02BA7"/>
    <w:rPr>
      <w:sz w:val="16"/>
      <w:szCs w:val="16"/>
    </w:rPr>
  </w:style>
  <w:style w:type="paragraph" w:styleId="CommentText">
    <w:name w:val="annotation text"/>
    <w:basedOn w:val="Normal"/>
    <w:link w:val="CommentTextChar"/>
    <w:uiPriority w:val="99"/>
    <w:semiHidden/>
    <w:unhideWhenUsed/>
    <w:rsid w:val="00B02BA7"/>
    <w:pPr>
      <w:spacing w:line="240" w:lineRule="auto"/>
    </w:pPr>
    <w:rPr>
      <w:sz w:val="20"/>
      <w:szCs w:val="20"/>
    </w:rPr>
  </w:style>
  <w:style w:type="character" w:customStyle="1" w:styleId="CommentTextChar">
    <w:name w:val="Comment Text Char"/>
    <w:basedOn w:val="DefaultParagraphFont"/>
    <w:link w:val="CommentText"/>
    <w:uiPriority w:val="99"/>
    <w:semiHidden/>
    <w:rsid w:val="00B02BA7"/>
    <w:rPr>
      <w:sz w:val="20"/>
      <w:szCs w:val="20"/>
    </w:rPr>
  </w:style>
  <w:style w:type="paragraph" w:styleId="CommentSubject">
    <w:name w:val="annotation subject"/>
    <w:basedOn w:val="CommentText"/>
    <w:next w:val="CommentText"/>
    <w:link w:val="CommentSubjectChar"/>
    <w:uiPriority w:val="99"/>
    <w:semiHidden/>
    <w:unhideWhenUsed/>
    <w:rsid w:val="00B02BA7"/>
    <w:rPr>
      <w:b/>
      <w:bCs/>
    </w:rPr>
  </w:style>
  <w:style w:type="character" w:customStyle="1" w:styleId="CommentSubjectChar">
    <w:name w:val="Comment Subject Char"/>
    <w:basedOn w:val="CommentTextChar"/>
    <w:link w:val="CommentSubject"/>
    <w:uiPriority w:val="99"/>
    <w:semiHidden/>
    <w:rsid w:val="00B02BA7"/>
    <w:rPr>
      <w:b/>
      <w:bCs/>
      <w:sz w:val="20"/>
      <w:szCs w:val="20"/>
    </w:rPr>
  </w:style>
  <w:style w:type="paragraph" w:styleId="BalloonText">
    <w:name w:val="Balloon Text"/>
    <w:basedOn w:val="Normal"/>
    <w:link w:val="BalloonTextChar"/>
    <w:uiPriority w:val="99"/>
    <w:semiHidden/>
    <w:unhideWhenUsed/>
    <w:rsid w:val="00B0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F99"/>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6E1"/>
    <w:pPr>
      <w:ind w:left="720"/>
      <w:contextualSpacing/>
    </w:pPr>
  </w:style>
  <w:style w:type="character" w:styleId="Hyperlink">
    <w:name w:val="Hyperlink"/>
    <w:basedOn w:val="DefaultParagraphFont"/>
    <w:uiPriority w:val="99"/>
    <w:unhideWhenUsed/>
    <w:rsid w:val="008678BB"/>
    <w:rPr>
      <w:color w:val="0000FF" w:themeColor="hyperlink"/>
      <w:u w:val="single"/>
    </w:rPr>
  </w:style>
  <w:style w:type="character" w:styleId="FollowedHyperlink">
    <w:name w:val="FollowedHyperlink"/>
    <w:basedOn w:val="DefaultParagraphFont"/>
    <w:uiPriority w:val="99"/>
    <w:semiHidden/>
    <w:unhideWhenUsed/>
    <w:rsid w:val="00964C2C"/>
    <w:rPr>
      <w:color w:val="800080" w:themeColor="followedHyperlink"/>
      <w:u w:val="single"/>
    </w:rPr>
  </w:style>
  <w:style w:type="character" w:styleId="CommentReference">
    <w:name w:val="annotation reference"/>
    <w:basedOn w:val="DefaultParagraphFont"/>
    <w:uiPriority w:val="99"/>
    <w:semiHidden/>
    <w:unhideWhenUsed/>
    <w:rsid w:val="00B02BA7"/>
    <w:rPr>
      <w:sz w:val="16"/>
      <w:szCs w:val="16"/>
    </w:rPr>
  </w:style>
  <w:style w:type="paragraph" w:styleId="CommentText">
    <w:name w:val="annotation text"/>
    <w:basedOn w:val="Normal"/>
    <w:link w:val="CommentTextChar"/>
    <w:uiPriority w:val="99"/>
    <w:semiHidden/>
    <w:unhideWhenUsed/>
    <w:rsid w:val="00B02BA7"/>
    <w:pPr>
      <w:spacing w:line="240" w:lineRule="auto"/>
    </w:pPr>
    <w:rPr>
      <w:sz w:val="20"/>
      <w:szCs w:val="20"/>
    </w:rPr>
  </w:style>
  <w:style w:type="character" w:customStyle="1" w:styleId="CommentTextChar">
    <w:name w:val="Comment Text Char"/>
    <w:basedOn w:val="DefaultParagraphFont"/>
    <w:link w:val="CommentText"/>
    <w:uiPriority w:val="99"/>
    <w:semiHidden/>
    <w:rsid w:val="00B02BA7"/>
    <w:rPr>
      <w:sz w:val="20"/>
      <w:szCs w:val="20"/>
    </w:rPr>
  </w:style>
  <w:style w:type="paragraph" w:styleId="CommentSubject">
    <w:name w:val="annotation subject"/>
    <w:basedOn w:val="CommentText"/>
    <w:next w:val="CommentText"/>
    <w:link w:val="CommentSubjectChar"/>
    <w:uiPriority w:val="99"/>
    <w:semiHidden/>
    <w:unhideWhenUsed/>
    <w:rsid w:val="00B02BA7"/>
    <w:rPr>
      <w:b/>
      <w:bCs/>
    </w:rPr>
  </w:style>
  <w:style w:type="character" w:customStyle="1" w:styleId="CommentSubjectChar">
    <w:name w:val="Comment Subject Char"/>
    <w:basedOn w:val="CommentTextChar"/>
    <w:link w:val="CommentSubject"/>
    <w:uiPriority w:val="99"/>
    <w:semiHidden/>
    <w:rsid w:val="00B02BA7"/>
    <w:rPr>
      <w:b/>
      <w:bCs/>
      <w:sz w:val="20"/>
      <w:szCs w:val="20"/>
    </w:rPr>
  </w:style>
  <w:style w:type="paragraph" w:styleId="BalloonText">
    <w:name w:val="Balloon Text"/>
    <w:basedOn w:val="Normal"/>
    <w:link w:val="BalloonTextChar"/>
    <w:uiPriority w:val="99"/>
    <w:semiHidden/>
    <w:unhideWhenUsed/>
    <w:rsid w:val="00B0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9852">
      <w:bodyDiv w:val="1"/>
      <w:marLeft w:val="0"/>
      <w:marRight w:val="0"/>
      <w:marTop w:val="0"/>
      <w:marBottom w:val="0"/>
      <w:divBdr>
        <w:top w:val="none" w:sz="0" w:space="0" w:color="auto"/>
        <w:left w:val="none" w:sz="0" w:space="0" w:color="auto"/>
        <w:bottom w:val="none" w:sz="0" w:space="0" w:color="auto"/>
        <w:right w:val="none" w:sz="0" w:space="0" w:color="auto"/>
      </w:divBdr>
      <w:divsChild>
        <w:div w:id="797919410">
          <w:marLeft w:val="0"/>
          <w:marRight w:val="0"/>
          <w:marTop w:val="0"/>
          <w:marBottom w:val="0"/>
          <w:divBdr>
            <w:top w:val="none" w:sz="0" w:space="0" w:color="auto"/>
            <w:left w:val="none" w:sz="0" w:space="0" w:color="auto"/>
            <w:bottom w:val="none" w:sz="0" w:space="0" w:color="auto"/>
            <w:right w:val="none" w:sz="0" w:space="0" w:color="auto"/>
          </w:divBdr>
          <w:divsChild>
            <w:div w:id="15389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697">
      <w:bodyDiv w:val="1"/>
      <w:marLeft w:val="0"/>
      <w:marRight w:val="0"/>
      <w:marTop w:val="0"/>
      <w:marBottom w:val="0"/>
      <w:divBdr>
        <w:top w:val="none" w:sz="0" w:space="0" w:color="auto"/>
        <w:left w:val="none" w:sz="0" w:space="0" w:color="auto"/>
        <w:bottom w:val="none" w:sz="0" w:space="0" w:color="auto"/>
        <w:right w:val="none" w:sz="0" w:space="0" w:color="auto"/>
      </w:divBdr>
      <w:divsChild>
        <w:div w:id="1470243288">
          <w:marLeft w:val="0"/>
          <w:marRight w:val="0"/>
          <w:marTop w:val="0"/>
          <w:marBottom w:val="0"/>
          <w:divBdr>
            <w:top w:val="none" w:sz="0" w:space="0" w:color="auto"/>
            <w:left w:val="none" w:sz="0" w:space="0" w:color="auto"/>
            <w:bottom w:val="none" w:sz="0" w:space="0" w:color="auto"/>
            <w:right w:val="none" w:sz="0" w:space="0" w:color="auto"/>
          </w:divBdr>
          <w:divsChild>
            <w:div w:id="17645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9657">
      <w:bodyDiv w:val="1"/>
      <w:marLeft w:val="0"/>
      <w:marRight w:val="0"/>
      <w:marTop w:val="0"/>
      <w:marBottom w:val="0"/>
      <w:divBdr>
        <w:top w:val="none" w:sz="0" w:space="0" w:color="auto"/>
        <w:left w:val="none" w:sz="0" w:space="0" w:color="auto"/>
        <w:bottom w:val="none" w:sz="0" w:space="0" w:color="auto"/>
        <w:right w:val="none" w:sz="0" w:space="0" w:color="auto"/>
      </w:divBdr>
      <w:divsChild>
        <w:div w:id="735124481">
          <w:marLeft w:val="0"/>
          <w:marRight w:val="0"/>
          <w:marTop w:val="0"/>
          <w:marBottom w:val="0"/>
          <w:divBdr>
            <w:top w:val="none" w:sz="0" w:space="0" w:color="auto"/>
            <w:left w:val="none" w:sz="0" w:space="0" w:color="auto"/>
            <w:bottom w:val="none" w:sz="0" w:space="0" w:color="auto"/>
            <w:right w:val="none" w:sz="0" w:space="0" w:color="auto"/>
          </w:divBdr>
          <w:divsChild>
            <w:div w:id="137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704">
      <w:bodyDiv w:val="1"/>
      <w:marLeft w:val="0"/>
      <w:marRight w:val="0"/>
      <w:marTop w:val="0"/>
      <w:marBottom w:val="0"/>
      <w:divBdr>
        <w:top w:val="none" w:sz="0" w:space="0" w:color="auto"/>
        <w:left w:val="none" w:sz="0" w:space="0" w:color="auto"/>
        <w:bottom w:val="none" w:sz="0" w:space="0" w:color="auto"/>
        <w:right w:val="none" w:sz="0" w:space="0" w:color="auto"/>
      </w:divBdr>
      <w:divsChild>
        <w:div w:id="169805470">
          <w:marLeft w:val="0"/>
          <w:marRight w:val="0"/>
          <w:marTop w:val="0"/>
          <w:marBottom w:val="0"/>
          <w:divBdr>
            <w:top w:val="none" w:sz="0" w:space="0" w:color="auto"/>
            <w:left w:val="none" w:sz="0" w:space="0" w:color="auto"/>
            <w:bottom w:val="none" w:sz="0" w:space="0" w:color="auto"/>
            <w:right w:val="none" w:sz="0" w:space="0" w:color="auto"/>
          </w:divBdr>
          <w:divsChild>
            <w:div w:id="1783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9324">
      <w:bodyDiv w:val="1"/>
      <w:marLeft w:val="0"/>
      <w:marRight w:val="0"/>
      <w:marTop w:val="0"/>
      <w:marBottom w:val="0"/>
      <w:divBdr>
        <w:top w:val="none" w:sz="0" w:space="0" w:color="auto"/>
        <w:left w:val="none" w:sz="0" w:space="0" w:color="auto"/>
        <w:bottom w:val="none" w:sz="0" w:space="0" w:color="auto"/>
        <w:right w:val="none" w:sz="0" w:space="0" w:color="auto"/>
      </w:divBdr>
      <w:divsChild>
        <w:div w:id="292440739">
          <w:marLeft w:val="0"/>
          <w:marRight w:val="0"/>
          <w:marTop w:val="0"/>
          <w:marBottom w:val="0"/>
          <w:divBdr>
            <w:top w:val="none" w:sz="0" w:space="0" w:color="auto"/>
            <w:left w:val="none" w:sz="0" w:space="0" w:color="auto"/>
            <w:bottom w:val="none" w:sz="0" w:space="0" w:color="auto"/>
            <w:right w:val="none" w:sz="0" w:space="0" w:color="auto"/>
          </w:divBdr>
          <w:divsChild>
            <w:div w:id="16878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766">
      <w:bodyDiv w:val="1"/>
      <w:marLeft w:val="0"/>
      <w:marRight w:val="0"/>
      <w:marTop w:val="0"/>
      <w:marBottom w:val="0"/>
      <w:divBdr>
        <w:top w:val="none" w:sz="0" w:space="0" w:color="auto"/>
        <w:left w:val="none" w:sz="0" w:space="0" w:color="auto"/>
        <w:bottom w:val="none" w:sz="0" w:space="0" w:color="auto"/>
        <w:right w:val="none" w:sz="0" w:space="0" w:color="auto"/>
      </w:divBdr>
    </w:div>
    <w:div w:id="2098095835">
      <w:bodyDiv w:val="1"/>
      <w:marLeft w:val="0"/>
      <w:marRight w:val="0"/>
      <w:marTop w:val="0"/>
      <w:marBottom w:val="0"/>
      <w:divBdr>
        <w:top w:val="none" w:sz="0" w:space="0" w:color="auto"/>
        <w:left w:val="none" w:sz="0" w:space="0" w:color="auto"/>
        <w:bottom w:val="none" w:sz="0" w:space="0" w:color="auto"/>
        <w:right w:val="none" w:sz="0" w:space="0" w:color="auto"/>
      </w:divBdr>
      <w:divsChild>
        <w:div w:id="1687904508">
          <w:marLeft w:val="0"/>
          <w:marRight w:val="0"/>
          <w:marTop w:val="0"/>
          <w:marBottom w:val="0"/>
          <w:divBdr>
            <w:top w:val="none" w:sz="0" w:space="0" w:color="auto"/>
            <w:left w:val="none" w:sz="0" w:space="0" w:color="auto"/>
            <w:bottom w:val="none" w:sz="0" w:space="0" w:color="auto"/>
            <w:right w:val="none" w:sz="0" w:space="0" w:color="auto"/>
          </w:divBdr>
          <w:divsChild>
            <w:div w:id="15483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sos.state.or.us/br/pkg_web_name_srch_inq.show_detl?p_be_rsn=665789&amp;p_srce=BR_INQ&amp;p_print=TRUE" TargetMode="External"/><Relationship Id="rId3" Type="http://schemas.microsoft.com/office/2007/relationships/stylesWithEffects" Target="stylesWithEffects.xml"/><Relationship Id="rId7" Type="http://schemas.openxmlformats.org/officeDocument/2006/relationships/hyperlink" Target="http://egov.sos.state.or.us/br/pkg_br1_web_rnewl.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sos.state.or.us/br/pkg_web_name_srch_inq.login"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irs.gov/Charities-&amp;-Non-Profits/Annual-Electronic-Filing-Requirement-for-Small-Exempt-Organizations-Form-990-N-%28e-Postcard%29" TargetMode="External"/><Relationship Id="rId4" Type="http://schemas.openxmlformats.org/officeDocument/2006/relationships/settings" Target="settings.xml"/><Relationship Id="rId9" Type="http://schemas.openxmlformats.org/officeDocument/2006/relationships/hyperlink" Target="http://www.irs.gov/Charities-&amp;-Non-Profits/Gross-Receipts-Define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Baca</dc:creator>
  <cp:lastModifiedBy>CSUMB</cp:lastModifiedBy>
  <cp:revision>3</cp:revision>
  <dcterms:created xsi:type="dcterms:W3CDTF">2015-03-04T21:57:00Z</dcterms:created>
  <dcterms:modified xsi:type="dcterms:W3CDTF">2015-03-06T17:12:00Z</dcterms:modified>
</cp:coreProperties>
</file>